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CEE58B4">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66A5D880">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5E2FE68B">
      <w:pPr>
        <w:keepNext/>
        <w:keepLines/>
        <w:spacing w:before="260" w:after="260" w:line="416" w:lineRule="atLeast"/>
        <w:jc w:val="center"/>
        <w:outlineLvl w:val="1"/>
        <w:rPr>
          <w:rFonts w:hint="eastAsia" w:ascii="Times New Roman" w:hAnsi="Times New Roman" w:eastAsia="宋体"/>
          <w:b/>
          <w:bCs/>
          <w:sz w:val="28"/>
          <w:szCs w:val="28"/>
          <w:lang w:eastAsia="zh-CN"/>
        </w:rPr>
      </w:pPr>
      <w:r>
        <w:rPr>
          <w:rFonts w:hint="eastAsia" w:ascii="Times New Roman" w:hAnsi="Times New Roman" w:eastAsia="宋体"/>
          <w:b/>
          <w:bCs/>
          <w:sz w:val="28"/>
          <w:szCs w:val="28"/>
          <w:lang w:eastAsia="zh-CN"/>
        </w:rPr>
        <w:drawing>
          <wp:inline distT="0" distB="0" distL="114300" distR="114300">
            <wp:extent cx="7068820" cy="661035"/>
            <wp:effectExtent l="0" t="0" r="0" b="0"/>
            <wp:docPr id="5" name="图片 5"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十四五国规标"/>
                    <pic:cNvPicPr>
                      <a:picLocks noChangeAspect="1"/>
                    </pic:cNvPicPr>
                  </pic:nvPicPr>
                  <pic:blipFill>
                    <a:blip r:embed="rId6"/>
                    <a:srcRect t="46761" b="46627"/>
                    <a:stretch>
                      <a:fillRect/>
                    </a:stretch>
                  </pic:blipFill>
                  <pic:spPr>
                    <a:xfrm>
                      <a:off x="0" y="0"/>
                      <a:ext cx="7068820" cy="661035"/>
                    </a:xfrm>
                    <a:prstGeom prst="rect">
                      <a:avLst/>
                    </a:prstGeom>
                  </pic:spPr>
                </pic:pic>
              </a:graphicData>
            </a:graphic>
          </wp:inline>
        </w:drawing>
      </w:r>
    </w:p>
    <w:p w14:paraId="21545871">
      <w:pPr>
        <w:keepNext/>
        <w:keepLines/>
        <w:spacing w:before="260" w:after="260" w:line="240" w:lineRule="auto"/>
        <w:jc w:val="both"/>
        <w:outlineLvl w:val="1"/>
        <w:rPr>
          <w:rFonts w:hint="eastAsia" w:ascii="Times New Roman" w:hAnsi="Times New Roman"/>
          <w:b/>
          <w:bCs/>
          <w:sz w:val="30"/>
          <w:szCs w:val="30"/>
          <w:lang w:val="en-US" w:eastAsia="zh-CN"/>
        </w:rPr>
      </w:pPr>
    </w:p>
    <w:p w14:paraId="26881B23">
      <w:pPr>
        <w:keepNext/>
        <w:keepLines/>
        <w:spacing w:before="260" w:after="260" w:line="240" w:lineRule="auto"/>
        <w:jc w:val="both"/>
        <w:outlineLvl w:val="1"/>
        <w:rPr>
          <w:rFonts w:hint="eastAsia" w:ascii="Times New Roman" w:hAnsi="Times New Roman"/>
          <w:b/>
          <w:bCs/>
          <w:sz w:val="30"/>
          <w:szCs w:val="30"/>
          <w:lang w:val="en-US" w:eastAsia="zh-CN"/>
        </w:rPr>
      </w:pPr>
    </w:p>
    <w:p w14:paraId="5E81C5F3">
      <w:pPr>
        <w:keepNext/>
        <w:keepLines/>
        <w:spacing w:before="260" w:after="260" w:line="240" w:lineRule="auto"/>
        <w:jc w:val="center"/>
        <w:outlineLvl w:val="1"/>
        <w:rPr>
          <w:rFonts w:hint="eastAsia" w:ascii="Times New Roman" w:hAnsi="Times New Roman"/>
          <w:b/>
          <w:bCs/>
          <w:sz w:val="52"/>
          <w:szCs w:val="52"/>
        </w:rPr>
      </w:pPr>
      <w:r>
        <w:rPr>
          <w:rFonts w:hint="eastAsia" w:ascii="汉仪菱心体简" w:hAnsi="汉仪菱心体简" w:eastAsia="汉仪菱心体简" w:cs="汉仪菱心体简"/>
          <w:i w:val="0"/>
          <w:caps w:val="0"/>
          <w:color w:val="6787B2"/>
          <w:spacing w:val="0"/>
          <w:sz w:val="84"/>
          <w:szCs w:val="84"/>
          <w:shd w:val="clear" w:fill="FFFFFF"/>
          <w:lang w:val="en-US" w:eastAsia="zh-CN"/>
        </w:rPr>
        <w:t>教案</w:t>
      </w:r>
    </w:p>
    <w:p w14:paraId="104A0AD8">
      <w:pPr>
        <w:keepNext/>
        <w:keepLines/>
        <w:spacing w:before="260" w:after="260" w:line="240" w:lineRule="auto"/>
        <w:jc w:val="center"/>
        <w:outlineLvl w:val="1"/>
        <w:rPr>
          <w:rFonts w:hint="eastAsia" w:ascii="思源宋体 CN Heavy" w:hAnsi="思源宋体 CN Heavy" w:eastAsia="思源宋体 CN Heavy" w:cs="思源宋体 CN Heavy"/>
          <w:b/>
          <w:bCs/>
          <w:color w:val="6787B2"/>
          <w:sz w:val="112"/>
          <w:szCs w:val="112"/>
          <w:lang w:val="en-US" w:eastAsia="zh-CN"/>
        </w:rPr>
      </w:pPr>
      <w:r>
        <w:rPr>
          <w:rFonts w:hint="eastAsia" w:ascii="思源宋体 CN Heavy" w:hAnsi="思源宋体 CN Heavy" w:eastAsia="思源宋体 CN Heavy" w:cs="思源宋体 CN Heavy"/>
          <w:b/>
          <w:bCs/>
          <w:color w:val="6787B2"/>
          <w:sz w:val="112"/>
          <w:szCs w:val="112"/>
          <w:lang w:val="en-US" w:eastAsia="zh-CN"/>
        </w:rPr>
        <w:t>生理学</w:t>
      </w:r>
    </w:p>
    <w:p w14:paraId="1DE0F138">
      <w:pPr>
        <w:keepNext/>
        <w:keepLines/>
        <w:spacing w:before="260" w:after="260" w:line="240" w:lineRule="auto"/>
        <w:jc w:val="center"/>
        <w:outlineLvl w:val="1"/>
        <w:rPr>
          <w:rFonts w:hint="default" w:ascii="Times New Roman" w:hAnsi="Times New Roman" w:eastAsia="宋体"/>
          <w:b/>
          <w:bCs/>
          <w:color w:val="2E75B6" w:themeColor="accent1" w:themeShade="BF"/>
          <w:sz w:val="52"/>
          <w:szCs w:val="52"/>
          <w:lang w:val="en-US" w:eastAsia="zh-CN"/>
        </w:rPr>
      </w:pPr>
      <w:r>
        <w:rPr>
          <w:rFonts w:hint="eastAsia" w:ascii="Times New Roman" w:hAnsi="Times New Roman"/>
          <w:b/>
          <w:bCs/>
          <w:color w:val="2E75B6" w:themeColor="accent1" w:themeShade="BF"/>
          <w:sz w:val="52"/>
          <w:szCs w:val="52"/>
          <w:lang w:eastAsia="zh-CN"/>
        </w:rPr>
        <w:t>（</w:t>
      </w:r>
      <w:r>
        <w:rPr>
          <w:rFonts w:hint="eastAsia" w:ascii="Times New Roman" w:hAnsi="Times New Roman"/>
          <w:b/>
          <w:bCs/>
          <w:color w:val="2E75B6" w:themeColor="accent1" w:themeShade="BF"/>
          <w:sz w:val="52"/>
          <w:szCs w:val="52"/>
          <w:lang w:val="en-US" w:eastAsia="zh-CN"/>
        </w:rPr>
        <w:t>第二版）</w:t>
      </w:r>
    </w:p>
    <w:p w14:paraId="7F875E9A">
      <w:pPr>
        <w:keepNext/>
        <w:keepLines/>
        <w:spacing w:before="260" w:after="260" w:line="240" w:lineRule="auto"/>
        <w:jc w:val="center"/>
        <w:outlineLvl w:val="1"/>
        <w:rPr>
          <w:rFonts w:hint="eastAsia" w:ascii="Times New Roman" w:hAnsi="Times New Roman"/>
          <w:b/>
          <w:bCs/>
          <w:sz w:val="28"/>
          <w:szCs w:val="28"/>
        </w:rPr>
      </w:pPr>
    </w:p>
    <w:p w14:paraId="25768923">
      <w:pPr>
        <w:keepNext/>
        <w:keepLines/>
        <w:spacing w:before="260" w:after="260" w:line="240" w:lineRule="auto"/>
        <w:jc w:val="center"/>
        <w:outlineLvl w:val="1"/>
        <w:rPr>
          <w:rFonts w:hint="eastAsia" w:ascii="Times New Roman" w:hAnsi="Times New Roman"/>
          <w:b/>
          <w:bCs/>
          <w:sz w:val="28"/>
          <w:szCs w:val="28"/>
        </w:rPr>
      </w:pPr>
    </w:p>
    <w:p w14:paraId="00F1166D">
      <w:pPr>
        <w:keepNext/>
        <w:keepLines/>
        <w:spacing w:before="260" w:after="260" w:line="240" w:lineRule="auto"/>
        <w:jc w:val="both"/>
        <w:outlineLvl w:val="1"/>
        <w:rPr>
          <w:rFonts w:hint="eastAsia" w:ascii="Times New Roman" w:hAnsi="Times New Roman"/>
          <w:b/>
          <w:bCs/>
          <w:sz w:val="28"/>
          <w:szCs w:val="28"/>
        </w:rPr>
      </w:pPr>
    </w:p>
    <w:p w14:paraId="3D194E08">
      <w:pPr>
        <w:keepNext/>
        <w:keepLines/>
        <w:spacing w:before="260" w:after="260" w:line="240" w:lineRule="auto"/>
        <w:jc w:val="both"/>
        <w:outlineLvl w:val="1"/>
        <w:rPr>
          <w:rFonts w:hint="eastAsia" w:ascii="Times New Roman" w:hAnsi="Times New Roman"/>
          <w:b/>
          <w:bCs/>
          <w:sz w:val="28"/>
          <w:szCs w:val="28"/>
        </w:rPr>
      </w:pPr>
    </w:p>
    <w:p w14:paraId="17BE5798">
      <w:pPr>
        <w:keepNext/>
        <w:keepLines/>
        <w:spacing w:before="260" w:after="260" w:line="240" w:lineRule="auto"/>
        <w:jc w:val="center"/>
        <w:outlineLvl w:val="1"/>
        <w:rPr>
          <w:rFonts w:hint="eastAsia" w:ascii="Times New Roman" w:hAnsi="Times New Roman"/>
          <w:b/>
          <w:bCs/>
          <w:sz w:val="28"/>
          <w:szCs w:val="28"/>
        </w:rPr>
      </w:pPr>
      <w:r>
        <w:rPr>
          <w:rFonts w:hint="eastAsia" w:ascii="Times New Roman" w:hAnsi="Times New Roman"/>
          <w:b/>
          <w:bCs/>
          <w:color w:val="8FAADC" w:themeColor="accent5" w:themeTint="99"/>
          <w:sz w:val="28"/>
          <w:szCs w:val="28"/>
          <w:lang w:val="en-US" w:eastAsia="zh-CN"/>
          <w14:textFill>
            <w14:solidFill>
              <w14:schemeClr w14:val="accent5">
                <w14:lumMod w14:val="60000"/>
                <w14:lumOff w14:val="40000"/>
              </w14:schemeClr>
            </w14:solidFill>
          </w14:textFill>
        </w:rPr>
        <w:t>北京出版社</w:t>
      </w:r>
    </w:p>
    <w:p w14:paraId="4CE1FFFF">
      <w:pPr>
        <w:keepNext/>
        <w:keepLines/>
        <w:spacing w:before="260" w:after="260" w:line="240" w:lineRule="auto"/>
        <w:jc w:val="both"/>
        <w:outlineLvl w:val="1"/>
        <w:rPr>
          <w:rFonts w:hint="eastAsia" w:ascii="Times New Roman" w:hAnsi="Times New Roman"/>
          <w:b/>
          <w:bCs/>
          <w:sz w:val="28"/>
          <w:szCs w:val="28"/>
        </w:rPr>
        <w:sectPr>
          <w:headerReference r:id="rId4" w:type="first"/>
          <w:headerReference r:id="rId3" w:type="default"/>
          <w:pgSz w:w="11906" w:h="16838"/>
          <w:pgMar w:top="0" w:right="170" w:bottom="0" w:left="170" w:header="567" w:footer="850" w:gutter="0"/>
          <w:pgBorders>
            <w:top w:val="none" w:sz="0" w:space="0"/>
            <w:left w:val="none" w:sz="0" w:space="0"/>
            <w:bottom w:val="none" w:sz="0" w:space="0"/>
            <w:right w:val="none" w:sz="0" w:space="0"/>
          </w:pgBorders>
          <w:cols w:space="425" w:num="1"/>
          <w:titlePg/>
          <w:docGrid w:type="lines" w:linePitch="312" w:charSpace="0"/>
        </w:sectPr>
      </w:pPr>
    </w:p>
    <w:p w14:paraId="45BEE8F2">
      <w:pPr>
        <w:pStyle w:val="3"/>
        <w:bidi w:val="0"/>
        <w:jc w:val="center"/>
        <w:rPr>
          <w:rFonts w:hint="eastAsia"/>
          <w:sz w:val="52"/>
          <w:szCs w:val="52"/>
          <w:lang w:eastAsia="zh-CN"/>
        </w:rPr>
      </w:pPr>
      <w:r>
        <w:rPr>
          <w:rFonts w:hint="eastAsia"/>
          <w:sz w:val="52"/>
          <w:szCs w:val="52"/>
          <w:lang w:eastAsia="zh-CN"/>
        </w:rPr>
        <w:t>课时分配表</w:t>
      </w:r>
    </w:p>
    <w:tbl>
      <w:tblPr>
        <w:tblStyle w:val="11"/>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Layout w:type="autofit"/>
        <w:tblCellMar>
          <w:top w:w="0" w:type="dxa"/>
          <w:left w:w="108" w:type="dxa"/>
          <w:bottom w:w="0" w:type="dxa"/>
          <w:right w:w="108" w:type="dxa"/>
        </w:tblCellMar>
      </w:tblPr>
      <w:tblGrid>
        <w:gridCol w:w="1176"/>
        <w:gridCol w:w="5269"/>
        <w:gridCol w:w="1735"/>
        <w:gridCol w:w="2025"/>
      </w:tblGrid>
      <w:tr w14:paraId="6C27105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00B0F0"/>
            <w:vAlign w:val="center"/>
          </w:tcPr>
          <w:p w14:paraId="5D6F964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章序</w:t>
            </w:r>
          </w:p>
        </w:tc>
        <w:tc>
          <w:tcPr>
            <w:tcW w:w="4166" w:type="dxa"/>
            <w:tcBorders>
              <w:tl2br w:val="nil"/>
              <w:tr2bl w:val="nil"/>
            </w:tcBorders>
            <w:shd w:val="clear" w:color="auto" w:fill="00B0F0"/>
            <w:vAlign w:val="center"/>
          </w:tcPr>
          <w:p w14:paraId="084A186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课程内容</w:t>
            </w:r>
          </w:p>
        </w:tc>
        <w:tc>
          <w:tcPr>
            <w:tcW w:w="1372" w:type="dxa"/>
            <w:tcBorders>
              <w:tl2br w:val="nil"/>
              <w:tr2bl w:val="nil"/>
            </w:tcBorders>
            <w:shd w:val="clear" w:color="auto" w:fill="00B0F0"/>
            <w:vAlign w:val="center"/>
          </w:tcPr>
          <w:p w14:paraId="30821CD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课时</w:t>
            </w:r>
          </w:p>
        </w:tc>
        <w:tc>
          <w:tcPr>
            <w:tcW w:w="1600" w:type="dxa"/>
            <w:tcBorders>
              <w:tl2br w:val="nil"/>
              <w:tr2bl w:val="nil"/>
            </w:tcBorders>
            <w:shd w:val="clear" w:color="auto" w:fill="00B0F0"/>
            <w:vAlign w:val="center"/>
          </w:tcPr>
          <w:p w14:paraId="2426A59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备注</w:t>
            </w:r>
          </w:p>
        </w:tc>
      </w:tr>
      <w:tr w14:paraId="3774EF2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3C96192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w:t>
            </w:r>
          </w:p>
        </w:tc>
        <w:tc>
          <w:tcPr>
            <w:tcW w:w="4166" w:type="dxa"/>
            <w:tcBorders>
              <w:tl2br w:val="nil"/>
              <w:tr2bl w:val="nil"/>
            </w:tcBorders>
            <w:shd w:val="clear" w:color="auto" w:fill="FFFFFF"/>
            <w:vAlign w:val="center"/>
          </w:tcPr>
          <w:p w14:paraId="6190761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cs="宋体"/>
                <w:b/>
                <w:bCs/>
                <w:color w:val="000000" w:themeColor="text1"/>
                <w:sz w:val="24"/>
                <w:szCs w:val="24"/>
                <w:vertAlign w:val="baseline"/>
                <w:lang w:eastAsia="zh-CN"/>
                <w14:textFill>
                  <w14:solidFill>
                    <w14:schemeClr w14:val="tx1"/>
                  </w14:solidFill>
                </w14:textFill>
              </w:rPr>
              <w:t>绪论</w:t>
            </w:r>
          </w:p>
        </w:tc>
        <w:tc>
          <w:tcPr>
            <w:tcW w:w="1372" w:type="dxa"/>
            <w:tcBorders>
              <w:tl2br w:val="nil"/>
              <w:tr2bl w:val="nil"/>
            </w:tcBorders>
            <w:shd w:val="clear" w:color="auto" w:fill="FFFFFF"/>
            <w:vAlign w:val="center"/>
          </w:tcPr>
          <w:p w14:paraId="33912B2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1600" w:type="dxa"/>
            <w:tcBorders>
              <w:tl2br w:val="nil"/>
              <w:tr2bl w:val="nil"/>
            </w:tcBorders>
            <w:shd w:val="clear" w:color="auto" w:fill="FFFFFF"/>
            <w:vAlign w:val="center"/>
          </w:tcPr>
          <w:p w14:paraId="4FB2AC9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5C21D6F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3F23B94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4166" w:type="dxa"/>
            <w:tcBorders>
              <w:tl2br w:val="nil"/>
              <w:tr2bl w:val="nil"/>
            </w:tcBorders>
            <w:shd w:val="clear" w:color="auto" w:fill="FFFFFF"/>
            <w:vAlign w:val="center"/>
          </w:tcPr>
          <w:p w14:paraId="2AF306B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细胞的基本功能</w:t>
            </w:r>
          </w:p>
        </w:tc>
        <w:tc>
          <w:tcPr>
            <w:tcW w:w="1372" w:type="dxa"/>
            <w:tcBorders>
              <w:tl2br w:val="nil"/>
              <w:tr2bl w:val="nil"/>
            </w:tcBorders>
            <w:shd w:val="clear" w:color="auto" w:fill="FFFFFF"/>
            <w:vAlign w:val="center"/>
          </w:tcPr>
          <w:p w14:paraId="1C56612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1600" w:type="dxa"/>
            <w:tcBorders>
              <w:tl2br w:val="nil"/>
              <w:tr2bl w:val="nil"/>
            </w:tcBorders>
            <w:shd w:val="clear" w:color="auto" w:fill="FFFFFF"/>
            <w:vAlign w:val="center"/>
          </w:tcPr>
          <w:p w14:paraId="05F7031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A19A17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44B6C67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4166" w:type="dxa"/>
            <w:tcBorders>
              <w:tl2br w:val="nil"/>
              <w:tr2bl w:val="nil"/>
            </w:tcBorders>
            <w:shd w:val="clear" w:color="auto" w:fill="FFFFFF"/>
            <w:vAlign w:val="center"/>
          </w:tcPr>
          <w:p w14:paraId="05A1C78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血液</w:t>
            </w:r>
          </w:p>
        </w:tc>
        <w:tc>
          <w:tcPr>
            <w:tcW w:w="1372" w:type="dxa"/>
            <w:tcBorders>
              <w:tl2br w:val="nil"/>
              <w:tr2bl w:val="nil"/>
            </w:tcBorders>
            <w:shd w:val="clear" w:color="auto" w:fill="FFFFFF"/>
            <w:vAlign w:val="center"/>
          </w:tcPr>
          <w:p w14:paraId="73DCFE2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1600" w:type="dxa"/>
            <w:tcBorders>
              <w:tl2br w:val="nil"/>
              <w:tr2bl w:val="nil"/>
            </w:tcBorders>
            <w:shd w:val="clear" w:color="auto" w:fill="FFFFFF"/>
            <w:vAlign w:val="center"/>
          </w:tcPr>
          <w:p w14:paraId="62F9E71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06C143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FE6686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4166" w:type="dxa"/>
            <w:tcBorders>
              <w:tl2br w:val="nil"/>
              <w:tr2bl w:val="nil"/>
            </w:tcBorders>
            <w:shd w:val="clear" w:color="auto" w:fill="FFFFFF"/>
            <w:vAlign w:val="center"/>
          </w:tcPr>
          <w:p w14:paraId="1FAC05E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血液循环</w:t>
            </w:r>
          </w:p>
        </w:tc>
        <w:tc>
          <w:tcPr>
            <w:tcW w:w="1372" w:type="dxa"/>
            <w:tcBorders>
              <w:tl2br w:val="nil"/>
              <w:tr2bl w:val="nil"/>
            </w:tcBorders>
            <w:shd w:val="clear" w:color="auto" w:fill="FFFFFF"/>
            <w:vAlign w:val="center"/>
          </w:tcPr>
          <w:p w14:paraId="5E2D23A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1600" w:type="dxa"/>
            <w:tcBorders>
              <w:tl2br w:val="nil"/>
              <w:tr2bl w:val="nil"/>
            </w:tcBorders>
            <w:shd w:val="clear" w:color="auto" w:fill="FFFFFF"/>
            <w:vAlign w:val="center"/>
          </w:tcPr>
          <w:p w14:paraId="7A9B57C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7CFA4DF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F7B181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4166" w:type="dxa"/>
            <w:tcBorders>
              <w:tl2br w:val="nil"/>
              <w:tr2bl w:val="nil"/>
            </w:tcBorders>
            <w:shd w:val="clear" w:color="auto" w:fill="FFFFFF"/>
            <w:vAlign w:val="center"/>
          </w:tcPr>
          <w:p w14:paraId="656D68D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呼吸</w:t>
            </w:r>
          </w:p>
        </w:tc>
        <w:tc>
          <w:tcPr>
            <w:tcW w:w="1372" w:type="dxa"/>
            <w:tcBorders>
              <w:tl2br w:val="nil"/>
              <w:tr2bl w:val="nil"/>
            </w:tcBorders>
            <w:shd w:val="clear" w:color="auto" w:fill="FFFFFF"/>
            <w:vAlign w:val="center"/>
          </w:tcPr>
          <w:p w14:paraId="5DF7C35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1600" w:type="dxa"/>
            <w:tcBorders>
              <w:tl2br w:val="nil"/>
              <w:tr2bl w:val="nil"/>
            </w:tcBorders>
            <w:shd w:val="clear" w:color="auto" w:fill="FFFFFF"/>
            <w:vAlign w:val="center"/>
          </w:tcPr>
          <w:p w14:paraId="2D2FABF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4D9C783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741BB54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4166" w:type="dxa"/>
            <w:tcBorders>
              <w:tl2br w:val="nil"/>
              <w:tr2bl w:val="nil"/>
            </w:tcBorders>
            <w:shd w:val="clear" w:color="auto" w:fill="FFFFFF"/>
            <w:vAlign w:val="center"/>
          </w:tcPr>
          <w:p w14:paraId="4A3E611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消化与吸收</w:t>
            </w:r>
          </w:p>
        </w:tc>
        <w:tc>
          <w:tcPr>
            <w:tcW w:w="1372" w:type="dxa"/>
            <w:tcBorders>
              <w:tl2br w:val="nil"/>
              <w:tr2bl w:val="nil"/>
            </w:tcBorders>
            <w:shd w:val="clear" w:color="auto" w:fill="FFFFFF"/>
            <w:vAlign w:val="center"/>
          </w:tcPr>
          <w:p w14:paraId="2661FBF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1600" w:type="dxa"/>
            <w:tcBorders>
              <w:tl2br w:val="nil"/>
              <w:tr2bl w:val="nil"/>
            </w:tcBorders>
            <w:shd w:val="clear" w:color="auto" w:fill="FFFFFF"/>
            <w:vAlign w:val="center"/>
          </w:tcPr>
          <w:p w14:paraId="1C402AC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3F793DE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72147E6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7</w:t>
            </w:r>
          </w:p>
        </w:tc>
        <w:tc>
          <w:tcPr>
            <w:tcW w:w="4166" w:type="dxa"/>
            <w:tcBorders>
              <w:tl2br w:val="nil"/>
              <w:tr2bl w:val="nil"/>
            </w:tcBorders>
            <w:shd w:val="clear" w:color="auto" w:fill="FFFFFF"/>
            <w:vAlign w:val="center"/>
          </w:tcPr>
          <w:p w14:paraId="0EDF22F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能量代谢与体温</w:t>
            </w:r>
          </w:p>
        </w:tc>
        <w:tc>
          <w:tcPr>
            <w:tcW w:w="1372" w:type="dxa"/>
            <w:tcBorders>
              <w:tl2br w:val="nil"/>
              <w:tr2bl w:val="nil"/>
            </w:tcBorders>
            <w:shd w:val="clear" w:color="auto" w:fill="FFFFFF"/>
            <w:vAlign w:val="center"/>
          </w:tcPr>
          <w:p w14:paraId="08701B7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1600" w:type="dxa"/>
            <w:tcBorders>
              <w:tl2br w:val="nil"/>
              <w:tr2bl w:val="nil"/>
            </w:tcBorders>
            <w:shd w:val="clear" w:color="auto" w:fill="FFFFFF"/>
            <w:vAlign w:val="center"/>
          </w:tcPr>
          <w:p w14:paraId="3B4BBCC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5CB1B81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59E23FD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4166" w:type="dxa"/>
            <w:tcBorders>
              <w:tl2br w:val="nil"/>
              <w:tr2bl w:val="nil"/>
            </w:tcBorders>
            <w:shd w:val="clear" w:color="auto" w:fill="FFFFFF"/>
            <w:vAlign w:val="center"/>
          </w:tcPr>
          <w:p w14:paraId="5D5322A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尿的生成与排出</w:t>
            </w:r>
          </w:p>
        </w:tc>
        <w:tc>
          <w:tcPr>
            <w:tcW w:w="1372" w:type="dxa"/>
            <w:tcBorders>
              <w:tl2br w:val="nil"/>
              <w:tr2bl w:val="nil"/>
            </w:tcBorders>
            <w:shd w:val="clear" w:color="auto" w:fill="FFFFFF"/>
            <w:vAlign w:val="center"/>
          </w:tcPr>
          <w:p w14:paraId="4562A27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1600" w:type="dxa"/>
            <w:tcBorders>
              <w:tl2br w:val="nil"/>
              <w:tr2bl w:val="nil"/>
            </w:tcBorders>
            <w:shd w:val="clear" w:color="auto" w:fill="FFFFFF"/>
            <w:vAlign w:val="center"/>
          </w:tcPr>
          <w:p w14:paraId="244C323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EA15DB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7938F9C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9</w:t>
            </w:r>
          </w:p>
        </w:tc>
        <w:tc>
          <w:tcPr>
            <w:tcW w:w="4166" w:type="dxa"/>
            <w:tcBorders>
              <w:tl2br w:val="nil"/>
              <w:tr2bl w:val="nil"/>
            </w:tcBorders>
            <w:shd w:val="clear" w:color="auto" w:fill="FFFFFF"/>
            <w:vAlign w:val="center"/>
          </w:tcPr>
          <w:p w14:paraId="26B5C1F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感觉器官的功能</w:t>
            </w:r>
          </w:p>
        </w:tc>
        <w:tc>
          <w:tcPr>
            <w:tcW w:w="1372" w:type="dxa"/>
            <w:tcBorders>
              <w:tl2br w:val="nil"/>
              <w:tr2bl w:val="nil"/>
            </w:tcBorders>
            <w:shd w:val="clear" w:color="auto" w:fill="FFFFFF"/>
            <w:vAlign w:val="center"/>
          </w:tcPr>
          <w:p w14:paraId="4F05393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1600" w:type="dxa"/>
            <w:tcBorders>
              <w:tl2br w:val="nil"/>
              <w:tr2bl w:val="nil"/>
            </w:tcBorders>
            <w:shd w:val="clear" w:color="auto" w:fill="FFFFFF"/>
            <w:vAlign w:val="center"/>
          </w:tcPr>
          <w:p w14:paraId="5787E72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1F95AE2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EEC2E6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10</w:t>
            </w:r>
          </w:p>
        </w:tc>
        <w:tc>
          <w:tcPr>
            <w:tcW w:w="4166" w:type="dxa"/>
            <w:tcBorders>
              <w:tl2br w:val="nil"/>
              <w:tr2bl w:val="nil"/>
            </w:tcBorders>
            <w:shd w:val="clear" w:color="auto" w:fill="FFFFFF"/>
            <w:vAlign w:val="center"/>
          </w:tcPr>
          <w:p w14:paraId="7561987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神经系统的功能</w:t>
            </w:r>
          </w:p>
        </w:tc>
        <w:tc>
          <w:tcPr>
            <w:tcW w:w="1372" w:type="dxa"/>
            <w:tcBorders>
              <w:tl2br w:val="nil"/>
              <w:tr2bl w:val="nil"/>
            </w:tcBorders>
            <w:shd w:val="clear" w:color="auto" w:fill="FFFFFF"/>
            <w:vAlign w:val="center"/>
          </w:tcPr>
          <w:p w14:paraId="7174809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7</w:t>
            </w:r>
          </w:p>
        </w:tc>
        <w:tc>
          <w:tcPr>
            <w:tcW w:w="1600" w:type="dxa"/>
            <w:tcBorders>
              <w:tl2br w:val="nil"/>
              <w:tr2bl w:val="nil"/>
            </w:tcBorders>
            <w:shd w:val="clear" w:color="auto" w:fill="FFFFFF"/>
            <w:vAlign w:val="center"/>
          </w:tcPr>
          <w:p w14:paraId="7F99408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74929D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6A43B0E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11</w:t>
            </w:r>
          </w:p>
        </w:tc>
        <w:tc>
          <w:tcPr>
            <w:tcW w:w="4166" w:type="dxa"/>
            <w:tcBorders>
              <w:tl2br w:val="nil"/>
              <w:tr2bl w:val="nil"/>
            </w:tcBorders>
            <w:shd w:val="clear" w:color="auto" w:fill="FFFFFF"/>
            <w:vAlign w:val="center"/>
          </w:tcPr>
          <w:p w14:paraId="67FC7A3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内分泌</w:t>
            </w:r>
          </w:p>
        </w:tc>
        <w:tc>
          <w:tcPr>
            <w:tcW w:w="1372" w:type="dxa"/>
            <w:tcBorders>
              <w:tl2br w:val="nil"/>
              <w:tr2bl w:val="nil"/>
            </w:tcBorders>
            <w:shd w:val="clear" w:color="auto" w:fill="FFFFFF"/>
            <w:vAlign w:val="center"/>
          </w:tcPr>
          <w:p w14:paraId="6A2FD8C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7</w:t>
            </w:r>
          </w:p>
        </w:tc>
        <w:tc>
          <w:tcPr>
            <w:tcW w:w="1600" w:type="dxa"/>
            <w:tcBorders>
              <w:tl2br w:val="nil"/>
              <w:tr2bl w:val="nil"/>
            </w:tcBorders>
            <w:shd w:val="clear" w:color="auto" w:fill="FFFFFF"/>
            <w:vAlign w:val="center"/>
          </w:tcPr>
          <w:p w14:paraId="47494D9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334A4A3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4569C1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12</w:t>
            </w:r>
          </w:p>
        </w:tc>
        <w:tc>
          <w:tcPr>
            <w:tcW w:w="4166" w:type="dxa"/>
            <w:tcBorders>
              <w:tl2br w:val="nil"/>
              <w:tr2bl w:val="nil"/>
            </w:tcBorders>
            <w:shd w:val="clear" w:color="auto" w:fill="FFFFFF"/>
            <w:vAlign w:val="center"/>
          </w:tcPr>
          <w:p w14:paraId="3C8C0B2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生殖</w:t>
            </w:r>
          </w:p>
        </w:tc>
        <w:tc>
          <w:tcPr>
            <w:tcW w:w="1372" w:type="dxa"/>
            <w:tcBorders>
              <w:tl2br w:val="nil"/>
              <w:tr2bl w:val="nil"/>
            </w:tcBorders>
            <w:shd w:val="clear" w:color="auto" w:fill="FFFFFF"/>
            <w:vAlign w:val="center"/>
          </w:tcPr>
          <w:p w14:paraId="66DB207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1600" w:type="dxa"/>
            <w:tcBorders>
              <w:tl2br w:val="nil"/>
              <w:tr2bl w:val="nil"/>
            </w:tcBorders>
            <w:shd w:val="clear" w:color="auto" w:fill="FFFFFF"/>
            <w:vAlign w:val="center"/>
          </w:tcPr>
          <w:p w14:paraId="7CE63FE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5334FFA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5472504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总计</w:t>
            </w:r>
          </w:p>
        </w:tc>
        <w:tc>
          <w:tcPr>
            <w:tcW w:w="4166" w:type="dxa"/>
            <w:tcBorders>
              <w:tl2br w:val="nil"/>
              <w:tr2bl w:val="nil"/>
            </w:tcBorders>
            <w:shd w:val="clear" w:color="auto" w:fill="FFFFFF"/>
            <w:vAlign w:val="center"/>
          </w:tcPr>
          <w:p w14:paraId="25DEA65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c>
          <w:tcPr>
            <w:tcW w:w="1372" w:type="dxa"/>
            <w:tcBorders>
              <w:tl2br w:val="nil"/>
              <w:tr2bl w:val="nil"/>
            </w:tcBorders>
            <w:shd w:val="clear" w:color="auto" w:fill="FFFFFF"/>
            <w:vAlign w:val="center"/>
          </w:tcPr>
          <w:p w14:paraId="7CFE93A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64</w:t>
            </w:r>
          </w:p>
        </w:tc>
        <w:tc>
          <w:tcPr>
            <w:tcW w:w="1600" w:type="dxa"/>
            <w:tcBorders>
              <w:tl2br w:val="nil"/>
              <w:tr2bl w:val="nil"/>
            </w:tcBorders>
            <w:shd w:val="clear" w:color="auto" w:fill="FFFFFF"/>
            <w:vAlign w:val="center"/>
          </w:tcPr>
          <w:p w14:paraId="6BA2237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bl>
    <w:p w14:paraId="57EB035E">
      <w:pPr>
        <w:rPr>
          <w:rFonts w:hint="eastAsia" w:ascii="黑体" w:hAnsi="黑体" w:eastAsia="黑体" w:cs="黑体"/>
          <w:b/>
          <w:bCs/>
          <w:color w:val="000000" w:themeColor="text1"/>
          <w:sz w:val="44"/>
          <w:szCs w:val="44"/>
          <w:lang w:eastAsia="zh-CN"/>
          <w14:textFill>
            <w14:solidFill>
              <w14:schemeClr w14:val="tx1"/>
            </w14:solidFill>
          </w14:textFill>
        </w:rPr>
      </w:pPr>
    </w:p>
    <w:p w14:paraId="5F3F8945">
      <w:pPr>
        <w:rPr>
          <w:rFonts w:hint="eastAsia" w:ascii="微软简老宋" w:hAnsi="微软简老宋" w:eastAsia="微软简老宋" w:cs="微软简老宋"/>
          <w:b w:val="0"/>
          <w:bCs w:val="0"/>
          <w:color w:val="00B0F0"/>
          <w:sz w:val="32"/>
          <w:szCs w:val="32"/>
        </w:rPr>
      </w:pPr>
      <w:r>
        <w:rPr>
          <w:rFonts w:hint="eastAsia" w:ascii="微软简老宋" w:hAnsi="微软简老宋" w:eastAsia="微软简老宋" w:cs="微软简老宋"/>
          <w:b w:val="0"/>
          <w:bCs w:val="0"/>
          <w:color w:val="00B0F0"/>
          <w:sz w:val="32"/>
          <w:szCs w:val="32"/>
        </w:rPr>
        <w:br w:type="page"/>
      </w:r>
    </w:p>
    <w:p w14:paraId="7C01B318">
      <w:pPr>
        <w:pStyle w:val="3"/>
        <w:bidi w:val="0"/>
        <w:jc w:val="center"/>
        <w:rPr>
          <w:rFonts w:hint="eastAsia"/>
          <w:color w:val="6787B2"/>
          <w:lang w:eastAsia="zh-CN"/>
        </w:rPr>
      </w:pPr>
      <w:r>
        <w:rPr>
          <w:rFonts w:hint="eastAsia"/>
          <w:color w:val="6787B2"/>
        </w:rPr>
        <w:t>第</w:t>
      </w:r>
      <w:r>
        <w:rPr>
          <w:rFonts w:hint="eastAsia"/>
          <w:color w:val="6787B2"/>
          <w:lang w:val="en-US" w:eastAsia="zh-CN"/>
        </w:rPr>
        <w:t>3</w:t>
      </w:r>
      <w:r>
        <w:rPr>
          <w:rFonts w:hint="eastAsia"/>
          <w:color w:val="6787B2"/>
        </w:rPr>
        <w:t>课</w:t>
      </w:r>
      <w:r>
        <w:rPr>
          <w:rFonts w:hint="eastAsia"/>
          <w:color w:val="6787B2"/>
          <w:lang w:val="en-US" w:eastAsia="zh-CN"/>
        </w:rPr>
        <w:t xml:space="preserve">  </w:t>
      </w:r>
      <w:r>
        <w:rPr>
          <w:rFonts w:hint="eastAsia"/>
          <w:color w:val="6787B2"/>
          <w:lang w:eastAsia="zh-CN"/>
        </w:rPr>
        <w:t>血液</w:t>
      </w:r>
    </w:p>
    <w:tbl>
      <w:tblPr>
        <w:tblStyle w:val="10"/>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Layout w:type="fixed"/>
        <w:tblCellMar>
          <w:top w:w="0" w:type="dxa"/>
          <w:left w:w="108" w:type="dxa"/>
          <w:bottom w:w="0" w:type="dxa"/>
          <w:right w:w="108" w:type="dxa"/>
        </w:tblCellMar>
      </w:tblPr>
      <w:tblGrid>
        <w:gridCol w:w="1541"/>
        <w:gridCol w:w="7014"/>
        <w:gridCol w:w="1650"/>
      </w:tblGrid>
      <w:tr w14:paraId="75DE18B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447C33E9">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bookmarkStart w:id="0" w:name="_GoBack" w:colFirst="1" w:colLast="2"/>
            <w:r>
              <w:rPr>
                <w:rFonts w:hint="default" w:ascii="Times New Roman" w:hAnsi="宋体"/>
                <w:b/>
                <w:szCs w:val="20"/>
              </w:rPr>
              <w:t>课</w:t>
            </w:r>
            <w:r>
              <w:rPr>
                <w:rFonts w:hint="eastAsia" w:ascii="Times New Roman" w:hAnsi="Times New Roman"/>
                <w:b/>
                <w:szCs w:val="20"/>
              </w:rPr>
              <w:t>题</w:t>
            </w:r>
          </w:p>
        </w:tc>
        <w:tc>
          <w:tcPr>
            <w:tcW w:w="7173" w:type="dxa"/>
            <w:gridSpan w:val="2"/>
            <w:tcBorders>
              <w:tl2br w:val="nil"/>
              <w:tr2bl w:val="nil"/>
            </w:tcBorders>
            <w:vAlign w:val="center"/>
          </w:tcPr>
          <w:p w14:paraId="0562485B">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宋体"/>
                <w:szCs w:val="20"/>
                <w:lang w:eastAsia="zh-CN"/>
              </w:rPr>
              <w:t>血液</w:t>
            </w:r>
          </w:p>
        </w:tc>
      </w:tr>
      <w:tr w14:paraId="58D13DC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2A68ACDB">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课时</w:t>
            </w:r>
          </w:p>
        </w:tc>
        <w:tc>
          <w:tcPr>
            <w:tcW w:w="7173" w:type="dxa"/>
            <w:gridSpan w:val="2"/>
            <w:tcBorders>
              <w:tl2br w:val="nil"/>
              <w:tr2bl w:val="nil"/>
            </w:tcBorders>
            <w:vAlign w:val="center"/>
          </w:tcPr>
          <w:p w14:paraId="68DD4F8F">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szCs w:val="20"/>
                <w:lang w:val="en-US" w:eastAsia="zh-CN"/>
              </w:rPr>
              <w:t>6</w:t>
            </w:r>
            <w:r>
              <w:rPr>
                <w:rFonts w:hint="default" w:ascii="Times New Roman" w:hAnsi="宋体"/>
                <w:szCs w:val="20"/>
              </w:rPr>
              <w:t>课时</w:t>
            </w:r>
            <w:r>
              <w:rPr>
                <w:rFonts w:hint="eastAsia" w:ascii="Times New Roman" w:hAnsi="宋体"/>
                <w:szCs w:val="20"/>
              </w:rPr>
              <w:t>（</w:t>
            </w:r>
            <w:r>
              <w:rPr>
                <w:rFonts w:hint="eastAsia" w:ascii="Times New Roman" w:hAnsi="宋体"/>
                <w:szCs w:val="20"/>
                <w:lang w:val="en-US" w:eastAsia="zh-CN"/>
              </w:rPr>
              <w:t>270</w:t>
            </w:r>
            <w:r>
              <w:rPr>
                <w:rFonts w:hint="eastAsia" w:ascii="Times New Roman" w:hAnsi="宋体"/>
                <w:szCs w:val="20"/>
              </w:rPr>
              <w:t>min）。</w:t>
            </w:r>
          </w:p>
        </w:tc>
      </w:tr>
      <w:tr w14:paraId="2E5F54F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44C29143">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教学目标</w:t>
            </w:r>
          </w:p>
        </w:tc>
        <w:tc>
          <w:tcPr>
            <w:tcW w:w="7173" w:type="dxa"/>
            <w:gridSpan w:val="2"/>
            <w:tcBorders>
              <w:tl2br w:val="nil"/>
              <w:tr2bl w:val="nil"/>
            </w:tcBorders>
            <w:vAlign w:val="center"/>
          </w:tcPr>
          <w:p w14:paraId="5E6E2D03">
            <w:pPr>
              <w:keepNext w:val="0"/>
              <w:keepLines w:val="0"/>
              <w:suppressLineNumbers w:val="0"/>
              <w:spacing w:before="0" w:beforeAutospacing="0" w:after="0" w:afterAutospacing="0" w:line="360" w:lineRule="auto"/>
              <w:ind w:left="0" w:right="0" w:hanging="8"/>
              <w:rPr>
                <w:rFonts w:hint="default"/>
                <w:b/>
              </w:rPr>
            </w:pPr>
            <w:r>
              <w:rPr>
                <w:rFonts w:hint="default" w:hAnsi="宋体"/>
                <w:b/>
              </w:rPr>
              <w:t>知识</w:t>
            </w:r>
            <w:r>
              <w:rPr>
                <w:rFonts w:hint="eastAsia" w:hAnsi="宋体"/>
                <w:b/>
              </w:rPr>
              <w:t>技能</w:t>
            </w:r>
            <w:r>
              <w:rPr>
                <w:rFonts w:hint="default" w:hAnsi="宋体"/>
                <w:b/>
              </w:rPr>
              <w:t>目标：</w:t>
            </w:r>
          </w:p>
          <w:p w14:paraId="24FA2C84">
            <w:pPr>
              <w:keepNext w:val="0"/>
              <w:keepLines w:val="0"/>
              <w:suppressLineNumbers w:val="0"/>
              <w:spacing w:before="0" w:beforeAutospacing="0" w:after="0" w:afterAutospacing="0" w:line="360" w:lineRule="auto"/>
              <w:ind w:left="0" w:right="0" w:hanging="8"/>
              <w:rPr>
                <w:rFonts w:hint="default" w:ascii="Times New Roman" w:hAnsi="宋体"/>
                <w:bCs/>
                <w:szCs w:val="20"/>
              </w:rPr>
            </w:pPr>
            <w:r>
              <w:rPr>
                <w:rFonts w:hint="default" w:ascii="Times New Roman" w:hAnsi="Times New Roman"/>
                <w:szCs w:val="20"/>
              </w:rPr>
              <w:t>1</w:t>
            </w:r>
            <w:r>
              <w:rPr>
                <w:rFonts w:hint="default" w:ascii="Times New Roman" w:hAnsi="宋体"/>
                <w:bCs/>
                <w:szCs w:val="20"/>
              </w:rPr>
              <w:t>．</w:t>
            </w:r>
            <w:r>
              <w:rPr>
                <w:rFonts w:hint="eastAsia" w:ascii="Times New Roman" w:hAnsi="宋体"/>
                <w:bCs/>
                <w:szCs w:val="20"/>
              </w:rPr>
              <w:t>了解简笔画在幼儿教育教学中所发挥的作用。</w:t>
            </w:r>
          </w:p>
          <w:p w14:paraId="3F32D78B">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Times New Roman"/>
                <w:szCs w:val="20"/>
              </w:rPr>
              <w:t>2</w:t>
            </w:r>
            <w:r>
              <w:rPr>
                <w:rFonts w:hint="default" w:ascii="Times New Roman" w:hAnsi="宋体"/>
                <w:bCs/>
                <w:szCs w:val="20"/>
              </w:rPr>
              <w:t>．</w:t>
            </w:r>
            <w:r>
              <w:rPr>
                <w:rFonts w:hint="eastAsia" w:ascii="Times New Roman" w:hAnsi="宋体"/>
                <w:bCs/>
                <w:szCs w:val="20"/>
              </w:rPr>
              <w:t>掌握简笔画的变现形式、表现内容以及简笔画的造型要素。</w:t>
            </w:r>
          </w:p>
          <w:p w14:paraId="152EF8DA">
            <w:pPr>
              <w:keepNext w:val="0"/>
              <w:keepLines w:val="0"/>
              <w:suppressLineNumbers w:val="0"/>
              <w:spacing w:before="0" w:beforeAutospacing="0" w:after="0" w:afterAutospacing="0" w:line="360" w:lineRule="auto"/>
              <w:ind w:left="0" w:right="0" w:hanging="8"/>
              <w:rPr>
                <w:rFonts w:hint="default" w:ascii="Times New Roman" w:hAnsi="Times New Roman"/>
                <w:b/>
                <w:szCs w:val="20"/>
              </w:rPr>
            </w:pPr>
            <w:r>
              <w:rPr>
                <w:rFonts w:hint="default" w:ascii="Times New Roman" w:hAnsi="Times New Roman"/>
                <w:b/>
                <w:szCs w:val="20"/>
              </w:rPr>
              <w:t>思政育人目标</w:t>
            </w:r>
            <w:r>
              <w:rPr>
                <w:rFonts w:hint="eastAsia" w:ascii="Times New Roman" w:hAnsi="Times New Roman"/>
                <w:b/>
                <w:szCs w:val="20"/>
              </w:rPr>
              <w:t>：</w:t>
            </w:r>
          </w:p>
          <w:p w14:paraId="1AA7354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default" w:ascii="Times New Roman" w:hAnsi="Times New Roman"/>
                <w:szCs w:val="20"/>
              </w:rPr>
            </w:pPr>
            <w:r>
              <w:rPr>
                <w:rFonts w:hint="eastAsia" w:ascii="Times New Roman" w:hAnsi="宋体"/>
                <w:bCs/>
                <w:szCs w:val="20"/>
              </w:rPr>
              <w:t>让学生通过学习</w:t>
            </w:r>
            <w:r>
              <w:rPr>
                <w:rFonts w:hint="eastAsia" w:ascii="Times New Roman" w:hAnsi="宋体"/>
                <w:bCs/>
                <w:szCs w:val="20"/>
                <w:lang w:eastAsia="zh-CN"/>
              </w:rPr>
              <w:t>绪论</w:t>
            </w:r>
            <w:r>
              <w:rPr>
                <w:rFonts w:hint="eastAsia" w:ascii="Times New Roman" w:hAnsi="宋体"/>
                <w:bCs/>
                <w:szCs w:val="20"/>
              </w:rPr>
              <w:t>，明白简笔画是幼儿教师在各科教学中广为应用的形象化语言</w:t>
            </w:r>
            <w:r>
              <w:rPr>
                <w:rFonts w:hint="eastAsia" w:ascii="Times New Roman" w:hAnsi="宋体"/>
                <w:bCs/>
                <w:szCs w:val="20"/>
                <w:lang w:eastAsia="zh-CN"/>
              </w:rPr>
              <w:t>，</w:t>
            </w:r>
            <w:r>
              <w:rPr>
                <w:rFonts w:hint="eastAsia" w:ascii="Times New Roman" w:hAnsi="宋体"/>
                <w:bCs/>
                <w:szCs w:val="20"/>
              </w:rPr>
              <w:t>初步提高学生的审美素养。</w:t>
            </w:r>
          </w:p>
        </w:tc>
      </w:tr>
      <w:tr w14:paraId="2A0D43A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0EED6E21">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教学重</w:t>
            </w:r>
            <w:r>
              <w:rPr>
                <w:rFonts w:hint="eastAsia" w:ascii="Times New Roman" w:hAnsi="宋体"/>
                <w:b/>
                <w:szCs w:val="20"/>
              </w:rPr>
              <w:t>难</w:t>
            </w:r>
            <w:r>
              <w:rPr>
                <w:rFonts w:hint="default" w:ascii="Times New Roman" w:hAnsi="宋体"/>
                <w:b/>
                <w:szCs w:val="20"/>
              </w:rPr>
              <w:t>点</w:t>
            </w:r>
          </w:p>
        </w:tc>
        <w:tc>
          <w:tcPr>
            <w:tcW w:w="7173" w:type="dxa"/>
            <w:gridSpan w:val="2"/>
            <w:tcBorders>
              <w:tl2br w:val="nil"/>
              <w:tr2bl w:val="nil"/>
            </w:tcBorders>
            <w:vAlign w:val="center"/>
          </w:tcPr>
          <w:p w14:paraId="0C1309D5">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教学重点：</w:t>
            </w:r>
            <w:r>
              <w:rPr>
                <w:rFonts w:hint="eastAsia" w:ascii="宋体" w:hAnsi="宋体" w:cs="宋体"/>
                <w:kern w:val="0"/>
              </w:rPr>
              <w:t>汽车构件静力分析</w:t>
            </w:r>
          </w:p>
          <w:p w14:paraId="58ABE1B7">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b/>
                <w:szCs w:val="20"/>
              </w:rPr>
              <w:t>教学难点：</w:t>
            </w:r>
            <w:r>
              <w:rPr>
                <w:rFonts w:hint="eastAsia" w:ascii="宋体" w:hAnsi="宋体" w:cs="宋体"/>
                <w:kern w:val="0"/>
              </w:rPr>
              <w:t>构件承载能力分析</w:t>
            </w:r>
          </w:p>
        </w:tc>
      </w:tr>
      <w:tr w14:paraId="0ACBBEF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4A67C69D">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教学方法</w:t>
            </w:r>
          </w:p>
        </w:tc>
        <w:tc>
          <w:tcPr>
            <w:tcW w:w="7173" w:type="dxa"/>
            <w:gridSpan w:val="2"/>
            <w:tcBorders>
              <w:tl2br w:val="nil"/>
              <w:tr2bl w:val="nil"/>
            </w:tcBorders>
            <w:vAlign w:val="center"/>
          </w:tcPr>
          <w:p w14:paraId="7205A227">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讲授法、问答法、讨论法</w:t>
            </w:r>
          </w:p>
        </w:tc>
      </w:tr>
      <w:tr w14:paraId="167DEEE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674E2EF4">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教学用具</w:t>
            </w:r>
          </w:p>
        </w:tc>
        <w:tc>
          <w:tcPr>
            <w:tcW w:w="7173" w:type="dxa"/>
            <w:gridSpan w:val="2"/>
            <w:tcBorders>
              <w:tl2br w:val="nil"/>
              <w:tr2bl w:val="nil"/>
            </w:tcBorders>
            <w:vAlign w:val="center"/>
          </w:tcPr>
          <w:p w14:paraId="711FEB30">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14:paraId="7AF3C95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bottom w:val="double" w:color="4472C4" w:themeColor="accent5" w:sz="4" w:space="0"/>
              <w:tl2br w:val="nil"/>
              <w:tr2bl w:val="nil"/>
            </w:tcBorders>
            <w:shd w:val="clear" w:color="auto" w:fill="DAF8FF"/>
            <w:vAlign w:val="center"/>
          </w:tcPr>
          <w:p w14:paraId="7AE04273">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教学设计</w:t>
            </w:r>
          </w:p>
        </w:tc>
        <w:tc>
          <w:tcPr>
            <w:tcW w:w="7173" w:type="dxa"/>
            <w:gridSpan w:val="2"/>
            <w:tcBorders>
              <w:bottom w:val="double" w:color="4472C4" w:themeColor="accent5" w:sz="4" w:space="0"/>
              <w:tl2br w:val="nil"/>
              <w:tr2bl w:val="nil"/>
            </w:tcBorders>
            <w:vAlign w:val="center"/>
          </w:tcPr>
          <w:p w14:paraId="33B09431">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1</w:t>
            </w:r>
            <w:r>
              <w:rPr>
                <w:rFonts w:hint="eastAsia" w:ascii="Times New Roman" w:hAnsi="宋体"/>
                <w:kern w:val="0"/>
                <w:szCs w:val="20"/>
              </w:rPr>
              <w:t>节课：</w:t>
            </w:r>
            <w:r>
              <w:rPr>
                <w:rFonts w:hint="eastAsia" w:ascii="Times New Roman" w:hAnsi="宋体"/>
                <w:szCs w:val="20"/>
                <w:lang w:eastAsia="zh-CN"/>
              </w:rPr>
              <w:t>考勤</w:t>
            </w:r>
            <w:r>
              <w:rPr>
                <w:rFonts w:hint="eastAsia" w:ascii="Times New Roman" w:hAnsi="宋体"/>
                <w:szCs w:val="20"/>
              </w:rPr>
              <w:t>（</w:t>
            </w:r>
            <w:r>
              <w:rPr>
                <w:rFonts w:hint="eastAsia" w:ascii="Times New Roman" w:hAnsi="宋体"/>
                <w:szCs w:val="20"/>
                <w:lang w:val="en-US" w:eastAsia="zh-CN"/>
              </w:rPr>
              <w:t>2</w:t>
            </w:r>
            <w:r>
              <w:rPr>
                <w:rFonts w:hint="eastAsia" w:ascii="Times New Roman" w:hAnsi="宋体"/>
                <w:szCs w:val="20"/>
              </w:rPr>
              <w:t>min）--</w:t>
            </w:r>
            <w:r>
              <w:rPr>
                <w:rFonts w:hint="eastAsia" w:ascii="Times New Roman" w:hAnsi="宋体"/>
                <w:szCs w:val="20"/>
                <w:lang w:eastAsia="zh-CN"/>
              </w:rPr>
              <w:t>知识讲解</w:t>
            </w:r>
            <w:r>
              <w:rPr>
                <w:rFonts w:hint="eastAsia" w:ascii="Times New Roman" w:hAnsi="宋体"/>
                <w:szCs w:val="20"/>
              </w:rPr>
              <w:t>（</w:t>
            </w:r>
            <w:r>
              <w:rPr>
                <w:rFonts w:hint="default" w:ascii="Times New Roman" w:hAnsi="宋体"/>
                <w:szCs w:val="20"/>
              </w:rPr>
              <w:t>40</w:t>
            </w:r>
            <w:r>
              <w:rPr>
                <w:rFonts w:hint="eastAsia" w:ascii="Times New Roman" w:hAnsi="宋体"/>
                <w:szCs w:val="20"/>
              </w:rPr>
              <w:t>min）</w:t>
            </w:r>
            <w:r>
              <w:rPr>
                <w:rFonts w:hint="eastAsia" w:ascii="Times New Roman" w:hAnsi="宋体"/>
                <w:szCs w:val="20"/>
                <w:lang w:val="en-US" w:eastAsia="zh-CN"/>
              </w:rPr>
              <w:t>--作业布置（3min）</w:t>
            </w:r>
          </w:p>
          <w:p w14:paraId="26F2F2CE">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2</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val="en-US" w:eastAsia="zh-CN"/>
              </w:rPr>
              <w:t>--作业布置（2min）</w:t>
            </w:r>
          </w:p>
          <w:p w14:paraId="69A34B51">
            <w:pPr>
              <w:keepNext w:val="0"/>
              <w:keepLines w:val="0"/>
              <w:suppressLineNumbers w:val="0"/>
              <w:spacing w:before="0" w:beforeAutospacing="0" w:after="0" w:afterAutospacing="0" w:line="360" w:lineRule="auto"/>
              <w:ind w:left="0" w:right="0" w:hanging="8"/>
              <w:rPr>
                <w:rFonts w:hint="eastAsia" w:ascii="Times New Roman" w:hAnsi="宋体"/>
                <w:szCs w:val="20"/>
              </w:rPr>
            </w:pPr>
            <w:r>
              <w:rPr>
                <w:rFonts w:hint="eastAsia" w:ascii="Times New Roman" w:hAnsi="宋体"/>
                <w:kern w:val="0"/>
                <w:szCs w:val="20"/>
              </w:rPr>
              <w:t>第</w:t>
            </w:r>
            <w:r>
              <w:rPr>
                <w:rFonts w:hint="default" w:ascii="Times New Roman" w:hAnsi="宋体"/>
                <w:kern w:val="0"/>
                <w:szCs w:val="20"/>
              </w:rPr>
              <w:t>3</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eastAsia="zh-CN"/>
              </w:rPr>
              <w:t>作业布置</w:t>
            </w:r>
            <w:r>
              <w:rPr>
                <w:rFonts w:hint="eastAsia" w:ascii="Times New Roman" w:hAnsi="宋体"/>
                <w:szCs w:val="20"/>
              </w:rPr>
              <w:t>（2min）</w:t>
            </w:r>
          </w:p>
          <w:p w14:paraId="4DF43BB0">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4</w:t>
            </w:r>
            <w:r>
              <w:rPr>
                <w:rFonts w:hint="default" w:ascii="Times New Roman" w:hAnsi="宋体"/>
                <w:szCs w:val="20"/>
              </w:rPr>
              <w:t>节课：知识讲解（40min）--课堂小结（3min）--作业布置（2min）</w:t>
            </w:r>
          </w:p>
          <w:p w14:paraId="19D976C8">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5</w:t>
            </w:r>
            <w:r>
              <w:rPr>
                <w:rFonts w:hint="default" w:ascii="Times New Roman" w:hAnsi="宋体"/>
                <w:szCs w:val="20"/>
              </w:rPr>
              <w:t>节课：知识讲解（40min）--课堂小结（3min）--作业布置（2min）</w:t>
            </w:r>
          </w:p>
          <w:p w14:paraId="18C68000">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6</w:t>
            </w:r>
            <w:r>
              <w:rPr>
                <w:rFonts w:hint="default" w:ascii="Times New Roman" w:hAnsi="宋体"/>
                <w:szCs w:val="20"/>
              </w:rPr>
              <w:t>节课：知识讲解（40min）--课堂小结（3min）--作业布置（2min）</w:t>
            </w:r>
          </w:p>
        </w:tc>
      </w:tr>
      <w:tr w14:paraId="2D58606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bottom w:val="double" w:color="4472C4" w:themeColor="accent5" w:sz="4" w:space="0"/>
            </w:tcBorders>
            <w:shd w:val="clear" w:color="auto" w:fill="DAF8FF"/>
            <w:vAlign w:val="center"/>
          </w:tcPr>
          <w:p w14:paraId="4E6527CA">
            <w:pPr>
              <w:keepNext w:val="0"/>
              <w:keepLines w:val="0"/>
              <w:suppressLineNumbers w:val="0"/>
              <w:spacing w:before="0" w:beforeAutospacing="0" w:after="0" w:afterAutospacing="0" w:line="360" w:lineRule="auto"/>
              <w:ind w:left="0" w:right="0" w:hanging="8"/>
              <w:jc w:val="center"/>
              <w:rPr>
                <w:rFonts w:hint="default" w:ascii="Times New Roman" w:hAnsi="Times New Roman"/>
                <w:b/>
                <w:bCs w:val="0"/>
                <w:color w:val="C00000"/>
                <w:szCs w:val="24"/>
              </w:rPr>
            </w:pPr>
            <w:r>
              <w:rPr>
                <w:rFonts w:hint="eastAsia" w:ascii="Times New Roman" w:hAnsi="Times New Roman"/>
                <w:b/>
                <w:bCs w:val="0"/>
                <w:color w:val="C00000"/>
                <w:szCs w:val="24"/>
              </w:rPr>
              <w:t>教学过程</w:t>
            </w:r>
          </w:p>
        </w:tc>
        <w:tc>
          <w:tcPr>
            <w:tcW w:w="5807" w:type="dxa"/>
            <w:tcBorders>
              <w:top w:val="double" w:color="4472C4" w:themeColor="accent5" w:sz="4" w:space="0"/>
              <w:bottom w:val="double" w:color="4472C4" w:themeColor="accent5" w:sz="4" w:space="0"/>
            </w:tcBorders>
            <w:shd w:val="clear" w:color="auto" w:fill="DAF8FF"/>
            <w:vAlign w:val="center"/>
          </w:tcPr>
          <w:p w14:paraId="5E4D02C6">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eastAsia" w:ascii="Times New Roman" w:hAnsi="Times New Roman"/>
                <w:b/>
                <w:bCs w:val="0"/>
                <w:color w:val="C00000"/>
                <w:szCs w:val="24"/>
              </w:rPr>
              <w:t>主要教学内容及步骤</w:t>
            </w:r>
          </w:p>
        </w:tc>
        <w:tc>
          <w:tcPr>
            <w:tcW w:w="1366" w:type="dxa"/>
            <w:tcBorders>
              <w:top w:val="double" w:color="4472C4" w:themeColor="accent5" w:sz="4" w:space="0"/>
              <w:bottom w:val="double" w:color="4472C4" w:themeColor="accent5" w:sz="4" w:space="0"/>
            </w:tcBorders>
            <w:shd w:val="clear" w:color="auto" w:fill="DAF8FF"/>
            <w:vAlign w:val="center"/>
          </w:tcPr>
          <w:p w14:paraId="13F860DF">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default" w:ascii="Times New Roman" w:hAnsi="Times New Roman"/>
                <w:b/>
                <w:bCs w:val="0"/>
                <w:color w:val="C00000"/>
                <w:szCs w:val="20"/>
              </w:rPr>
              <w:t>设计意图</w:t>
            </w:r>
          </w:p>
        </w:tc>
      </w:tr>
      <w:tr w14:paraId="261DD71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tl2br w:val="nil"/>
              <w:tr2bl w:val="nil"/>
            </w:tcBorders>
            <w:shd w:val="clear" w:color="auto" w:fill="DAF8FF"/>
            <w:vAlign w:val="center"/>
          </w:tcPr>
          <w:p w14:paraId="5F741C0F">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考勤</w:t>
            </w:r>
          </w:p>
          <w:p w14:paraId="2E4F9FD9">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w:t>
            </w:r>
            <w:r>
              <w:rPr>
                <w:rFonts w:hint="eastAsia" w:ascii="Times New Roman" w:hAnsi="Times New Roman"/>
                <w:b/>
                <w:szCs w:val="24"/>
                <w:lang w:val="en-US" w:eastAsia="zh-CN"/>
              </w:rPr>
              <w:t>2min</w:t>
            </w:r>
            <w:r>
              <w:rPr>
                <w:rFonts w:hint="eastAsia" w:ascii="Times New Roman" w:hAnsi="Times New Roman"/>
                <w:b/>
                <w:szCs w:val="24"/>
                <w:lang w:eastAsia="zh-CN"/>
              </w:rPr>
              <w:t>）</w:t>
            </w:r>
          </w:p>
        </w:tc>
        <w:tc>
          <w:tcPr>
            <w:tcW w:w="5807" w:type="dxa"/>
            <w:tcBorders>
              <w:top w:val="double" w:color="4472C4" w:themeColor="accent5" w:sz="4" w:space="0"/>
              <w:tl2br w:val="nil"/>
              <w:tr2bl w:val="nil"/>
            </w:tcBorders>
            <w:vAlign w:val="center"/>
          </w:tcPr>
          <w:p w14:paraId="125D57A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Cs w:val="24"/>
              </w:rPr>
            </w:pPr>
            <w:r>
              <w:rPr>
                <w:rFonts w:hint="eastAsia" w:ascii="Times New Roman" w:hAnsi="Times New Roman"/>
                <w:color w:val="C00000"/>
                <w:szCs w:val="24"/>
              </w:rPr>
              <w:t>■</w:t>
            </w:r>
            <w:r>
              <w:rPr>
                <w:rFonts w:hint="eastAsia" w:ascii="Times New Roman" w:hAnsi="Times New Roman"/>
                <w:color w:val="C00000"/>
                <w:szCs w:val="24"/>
                <w:lang w:eastAsia="zh-CN"/>
              </w:rPr>
              <w:t>【教师】</w:t>
            </w:r>
            <w:r>
              <w:rPr>
                <w:rFonts w:hint="eastAsia" w:ascii="Times New Roman" w:hAnsi="Times New Roman"/>
                <w:color w:val="C00000"/>
                <w:szCs w:val="24"/>
              </w:rPr>
              <w:t>清点上课人数，记录好考勤</w:t>
            </w:r>
          </w:p>
          <w:p w14:paraId="7FA8F84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Cs w:val="24"/>
              </w:rPr>
            </w:pPr>
            <w:r>
              <w:rPr>
                <w:rFonts w:hint="eastAsia" w:ascii="Times New Roman" w:hAnsi="Times New Roman"/>
                <w:color w:val="548235" w:themeColor="accent6" w:themeShade="BF"/>
                <w:szCs w:val="24"/>
              </w:rPr>
              <w:t>■</w:t>
            </w:r>
            <w:r>
              <w:rPr>
                <w:rFonts w:hint="eastAsia" w:ascii="Times New Roman" w:hAnsi="Times New Roman"/>
                <w:color w:val="548235" w:themeColor="accent6" w:themeShade="BF"/>
                <w:szCs w:val="24"/>
                <w:lang w:eastAsia="zh-CN"/>
              </w:rPr>
              <w:t>【学生】</w:t>
            </w:r>
            <w:r>
              <w:rPr>
                <w:rFonts w:hint="eastAsia" w:ascii="Times New Roman" w:hAnsi="Times New Roman"/>
                <w:color w:val="548235" w:themeColor="accent6" w:themeShade="BF"/>
                <w:szCs w:val="24"/>
              </w:rPr>
              <w:t>班干部报请假人员及原因</w:t>
            </w:r>
          </w:p>
        </w:tc>
        <w:tc>
          <w:tcPr>
            <w:tcW w:w="1366" w:type="dxa"/>
            <w:tcBorders>
              <w:top w:val="double" w:color="4472C4" w:themeColor="accent5" w:sz="4" w:space="0"/>
              <w:tl2br w:val="nil"/>
              <w:tr2bl w:val="nil"/>
            </w:tcBorders>
            <w:vAlign w:val="center"/>
          </w:tcPr>
          <w:p w14:paraId="58EC4FA4">
            <w:pPr>
              <w:keepNext w:val="0"/>
              <w:keepLines w:val="0"/>
              <w:suppressLineNumbers w:val="0"/>
              <w:spacing w:before="0" w:beforeAutospacing="0" w:after="0" w:afterAutospacing="0" w:line="360" w:lineRule="auto"/>
              <w:ind w:left="0" w:right="0"/>
              <w:jc w:val="center"/>
              <w:rPr>
                <w:rFonts w:hint="default" w:ascii="Times New Roman" w:hAnsi="Times New Roman"/>
                <w:szCs w:val="20"/>
              </w:rPr>
            </w:pPr>
            <w:r>
              <w:rPr>
                <w:rFonts w:hint="eastAsia" w:ascii="Times New Roman" w:hAnsi="Times New Roman"/>
                <w:szCs w:val="20"/>
              </w:rPr>
              <w:t>培养学生的组织纪律性,掌握学生的出勤情况</w:t>
            </w:r>
          </w:p>
        </w:tc>
      </w:tr>
      <w:tr w14:paraId="7A92856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4BD8B58B">
            <w:pPr>
              <w:keepNext w:val="0"/>
              <w:keepLines w:val="0"/>
              <w:suppressLineNumbers w:val="0"/>
              <w:spacing w:before="0" w:beforeAutospacing="0" w:after="0" w:afterAutospacing="0"/>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68298829">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w:t>
            </w:r>
            <w:r>
              <w:rPr>
                <w:rFonts w:hint="eastAsia" w:ascii="Times New Roman" w:hAnsi="Times New Roman"/>
                <w:szCs w:val="24"/>
                <w:lang w:val="en-US" w:eastAsia="zh-CN"/>
              </w:rPr>
              <w:t>40</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37860A78">
            <w:pPr>
              <w:keepNext w:val="0"/>
              <w:keepLines w:val="0"/>
              <w:widowControl/>
              <w:suppressLineNumbers w:val="0"/>
              <w:spacing w:before="0" w:beforeAutospacing="0" w:after="0" w:afterAutospacing="0" w:line="360" w:lineRule="auto"/>
              <w:ind w:left="0" w:right="0"/>
              <w:jc w:val="left"/>
              <w:rPr>
                <w:rFonts w:hint="eastAsia" w:ascii="Times New Roman" w:hAnsi="Times New Roman"/>
                <w:b w:val="0"/>
                <w:bCs/>
                <w:color w:val="C00000"/>
                <w:lang w:val="en-US" w:eastAsia="zh-CN"/>
              </w:rPr>
            </w:pPr>
            <w:r>
              <w:rPr>
                <w:rFonts w:hint="eastAsia" w:ascii="Times New Roman" w:hAnsi="Times New Roman"/>
                <w:b/>
                <w:color w:val="C00000"/>
              </w:rPr>
              <w:t>【教师】</w:t>
            </w:r>
            <w:r>
              <w:rPr>
                <w:rFonts w:hint="eastAsia" w:ascii="宋体" w:hAnsi="宋体" w:eastAsia="宋体" w:cs="宋体"/>
                <w:b w:val="0"/>
                <w:bCs/>
                <w:color w:val="C00000"/>
                <w:kern w:val="2"/>
                <w:sz w:val="21"/>
                <w:szCs w:val="21"/>
                <w:lang w:val="en-US" w:eastAsia="zh-CN" w:bidi="ar"/>
              </w:rPr>
              <w:t>展示概述</w:t>
            </w:r>
          </w:p>
          <w:p w14:paraId="6589821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一、血液的组成</w:t>
            </w:r>
          </w:p>
          <w:p w14:paraId="1C61895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血液由血浆和悬浮在其中的红细胞、白细胞和血小板构成。血细胞在全血中所占的容积百分比称为血细胞比容（hematocrit，HCT）或红细胞压积。正常成年男性血细胞比容为 40% ～ 50%，女性是 37% ～ 48%。</w:t>
            </w:r>
          </w:p>
          <w:p w14:paraId="6196BF9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血液的浓缩和稀释可导致血细胞比容发生变化，所以该指标在临床上可作为某些疾病诊断的辅助标准。</w:t>
            </w:r>
          </w:p>
          <w:p w14:paraId="5DC3C9D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二、血液的理化特性</w:t>
            </w:r>
          </w:p>
          <w:p w14:paraId="7B4AE0D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（一）血液的颜色</w:t>
            </w:r>
          </w:p>
          <w:p w14:paraId="6491CA3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血液的颜色主要取决于红细胞内血红蛋白的颜色。动脉血液中氧合血红蛋白较多，所以呈鲜红色；静脉血液中含还原血红蛋白较多，呈暗红色。血浆中因含有微量胆红素故呈淡黄色。</w:t>
            </w:r>
          </w:p>
          <w:p w14:paraId="039CAA8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（二）血液的比重</w:t>
            </w:r>
          </w:p>
          <w:p w14:paraId="5CE4C45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血液的比重取决于红细胞的数量，血浆的比重取决于血浆蛋白的含量。正常人全血的比重为 1.050 ～ 1.060，血浆的比重为 1.025 ～ 1.030。</w:t>
            </w:r>
          </w:p>
          <w:p w14:paraId="300EDB9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（三）血液的黏滞性</w:t>
            </w:r>
          </w:p>
          <w:p w14:paraId="2D4980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黏滞性的产生源于血液内部分子或颗粒之间的摩擦力。经测量，全血的相对黏滞性为水的 4 ～ 5 倍，血浆相对黏滞性为水的 1.6 ～ 2.4 倍（温度为 37℃时）。全血的黏滞性主要取决于所含的红细胞数量，而血浆的黏滞性则主要取决于血浆蛋白的含量。</w:t>
            </w:r>
          </w:p>
          <w:p w14:paraId="4088A60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当 pH 值低于 7.35，为酸中毒；高于 7.45 时，则为碱中毒。如果血浆 pH 值低于 6.9 或高于 7.8 时，将危及生命。</w:t>
            </w:r>
          </w:p>
          <w:p w14:paraId="227221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（四）血液的酸碱度</w:t>
            </w:r>
          </w:p>
          <w:p w14:paraId="56A4D2E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正常人血浆 pH 值为 7.35 ～ 7.45，其值主要取决于血浆中主要的缓冲对 NaHCO3 / H2CO3 比值。一般酸性物质或者碱性物质进入体内后，由于缓冲对的作用，血液 pH 值变化范围极小。</w:t>
            </w:r>
          </w:p>
          <w:p w14:paraId="18382C9D">
            <w:pPr>
              <w:keepNext w:val="0"/>
              <w:keepLines w:val="0"/>
              <w:widowControl w:val="0"/>
              <w:suppressLineNumbers w:val="0"/>
              <w:autoSpaceDE w:val="0"/>
              <w:autoSpaceDN/>
              <w:spacing w:before="0" w:beforeAutospacing="0" w:after="0" w:afterAutospacing="0" w:line="360" w:lineRule="auto"/>
              <w:ind w:left="0" w:right="0"/>
              <w:jc w:val="left"/>
              <w:rPr>
                <w:rFonts w:hint="default" w:ascii="Times New Roman" w:hAnsi="Times New Roman"/>
                <w:b/>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6D2BD166">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val="en-US" w:eastAsia="zh-CN"/>
              </w:rPr>
              <w:t>展示概述</w:t>
            </w:r>
            <w:r>
              <w:rPr>
                <w:rFonts w:hint="eastAsia" w:ascii="Times New Roman" w:hAnsi="Times New Roman"/>
                <w:b/>
                <w:szCs w:val="24"/>
              </w:rPr>
              <w:t>，</w:t>
            </w:r>
            <w:r>
              <w:rPr>
                <w:rFonts w:hint="eastAsia" w:ascii="Times New Roman" w:hAnsi="Times New Roman"/>
                <w:b/>
                <w:szCs w:val="24"/>
                <w:lang w:eastAsia="zh-CN"/>
              </w:rPr>
              <w:t>让学生更加仔细的阅读，从而</w:t>
            </w:r>
            <w:r>
              <w:rPr>
                <w:rFonts w:hint="eastAsia" w:ascii="Times New Roman" w:hAnsi="Times New Roman"/>
                <w:b/>
                <w:szCs w:val="24"/>
              </w:rPr>
              <w:t>激发学生的学习欲望。</w:t>
            </w:r>
          </w:p>
        </w:tc>
      </w:tr>
      <w:tr w14:paraId="699A885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03741B0F">
            <w:pPr>
              <w:keepNext w:val="0"/>
              <w:keepLines w:val="0"/>
              <w:suppressLineNumbers w:val="0"/>
              <w:spacing w:before="0" w:beforeAutospacing="0" w:after="0" w:afterAutospacing="0" w:line="264" w:lineRule="auto"/>
              <w:ind w:left="0" w:right="0" w:hanging="8"/>
              <w:jc w:val="center"/>
              <w:rPr>
                <w:rFonts w:hint="default" w:ascii="Times New Roman" w:hAnsi="Times New Roman"/>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Cs w:val="24"/>
              </w:rPr>
              <w:t>（</w:t>
            </w:r>
            <w:r>
              <w:rPr>
                <w:rFonts w:hint="eastAsia" w:ascii="Times New Roman" w:hAnsi="Times New Roman"/>
                <w:b w:val="0"/>
                <w:bCs w:val="0"/>
                <w:szCs w:val="24"/>
                <w:lang w:val="en-US" w:eastAsia="zh-CN"/>
              </w:rPr>
              <w:t>3</w:t>
            </w:r>
            <w:r>
              <w:rPr>
                <w:rFonts w:hint="eastAsia" w:ascii="Times New Roman" w:hAnsi="Times New Roman"/>
                <w:b w:val="0"/>
                <w:bCs w:val="0"/>
                <w:szCs w:val="24"/>
              </w:rPr>
              <w:t>min）</w:t>
            </w:r>
          </w:p>
        </w:tc>
        <w:tc>
          <w:tcPr>
            <w:tcW w:w="5807" w:type="dxa"/>
            <w:tcBorders>
              <w:tl2br w:val="nil"/>
              <w:tr2bl w:val="nil"/>
            </w:tcBorders>
            <w:vAlign w:val="center"/>
          </w:tcPr>
          <w:p w14:paraId="66530226">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3FE472D7">
            <w:pPr>
              <w:keepNext w:val="0"/>
              <w:keepLines w:val="0"/>
              <w:suppressLineNumbers w:val="0"/>
              <w:spacing w:before="0" w:beforeAutospacing="0" w:after="0" w:afterAutospacing="0" w:line="360" w:lineRule="auto"/>
              <w:ind w:left="0" w:right="0" w:firstLine="420" w:firstLineChars="200"/>
              <w:rPr>
                <w:rFonts w:hint="eastAsia" w:hAnsi="宋体" w:eastAsia="宋体"/>
                <w:bCs/>
                <w:lang w:eastAsia="zh-CN"/>
              </w:rPr>
            </w:pPr>
            <w:r>
              <w:rPr>
                <w:rFonts w:hint="eastAsia" w:hAnsi="宋体"/>
                <w:bCs/>
                <w:lang w:val="en-US" w:eastAsia="zh-CN"/>
              </w:rPr>
              <w:t>简述</w:t>
            </w:r>
            <w:r>
              <w:rPr>
                <w:rFonts w:hint="eastAsia" w:hAnsi="宋体"/>
                <w:bCs/>
                <w:lang w:eastAsia="zh-CN"/>
              </w:rPr>
              <w:t>血液的理化特性。</w:t>
            </w:r>
          </w:p>
        </w:tc>
        <w:tc>
          <w:tcPr>
            <w:tcW w:w="1366" w:type="dxa"/>
            <w:tcBorders>
              <w:tl2br w:val="nil"/>
              <w:tr2bl w:val="nil"/>
            </w:tcBorders>
            <w:vAlign w:val="center"/>
          </w:tcPr>
          <w:p w14:paraId="4C8037CD">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67F9DD1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4D55547C">
            <w:pPr>
              <w:keepNext w:val="0"/>
              <w:keepLines w:val="0"/>
              <w:suppressLineNumbers w:val="0"/>
              <w:spacing w:before="0" w:beforeAutospacing="0" w:after="0" w:afterAutospacing="0" w:line="264"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710E1BFA">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53A97245">
            <w:pPr>
              <w:keepNext w:val="0"/>
              <w:keepLines w:val="0"/>
              <w:widowControl w:val="0"/>
              <w:suppressLineNumbers w:val="0"/>
              <w:spacing w:before="0" w:beforeAutospacing="0" w:after="0" w:afterAutospacing="0" w:line="360" w:lineRule="auto"/>
              <w:ind w:left="0" w:right="0"/>
              <w:jc w:val="both"/>
              <w:rPr>
                <w:rFonts w:hint="default" w:ascii="宋体" w:hAnsi="宋体" w:cs="宋体"/>
                <w:b/>
                <w:bCs w:val="0"/>
                <w:color w:val="0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展示血浆</w:t>
            </w:r>
          </w:p>
          <w:p w14:paraId="1C2E6F85">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一、血浆的组成</w:t>
            </w:r>
          </w:p>
          <w:p w14:paraId="632BECCC">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血浆相当于血细胞的细胞外液，是机体内环境中最活跃的部分。血浆包括水和溶解在其中的血浆蛋白、电解质、小分子有机物和一些气体。正常情况下，血浆各种成分的含量在一定范围内变动，保持相对恒定。患病时，某些化学成分的含量则会高于或低于正常范围，故临床上对血浆成分的测定有助于某些疾病的诊断。</w:t>
            </w:r>
          </w:p>
          <w:p w14:paraId="3FC71FB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（一）水</w:t>
            </w:r>
          </w:p>
          <w:p w14:paraId="0527525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血浆中的水占 91% ～ 92%，它对实现血液的物质运输、调节体温等有着相当重要的作用。</w:t>
            </w:r>
          </w:p>
          <w:p w14:paraId="109DA53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（二）溶质</w:t>
            </w:r>
          </w:p>
          <w:p w14:paraId="7B64E87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1. 血浆蛋白　血浆蛋白（plasma proteins）是血浆中多种蛋白质的总称，主要包括白蛋白（或清蛋白）、球蛋白和纤维蛋白原。正常成人血浆蛋白含量为 65 ～ 85 g / L，其中白蛋白（A）为 40 ～ 48 g / L，球蛋白（G）为 15 ～ 30 g / L，纤维蛋白原为 2 ～ 4 g / L。白蛋白与球蛋白的比值（A/G）为 1.5 ～ 2.5。因为白蛋白和大多数球蛋白在肝合成，所以临床上测定 A/G 比值可检查肝功能是否正常。肝病患者 A/G 比值会下降，甚至倒置。</w:t>
            </w:r>
          </w:p>
          <w:p w14:paraId="083CD48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血浆蛋白的生理作用包括：①形成血浆胶体渗透压；②参与免疫反应；③参与血液凝固和纤维蛋白溶解等生理过程；④营养功能；⑤运输功能。</w:t>
            </w:r>
          </w:p>
          <w:p w14:paraId="366CD6E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2. 电解质　血浆中的电解质能通过毛细血管壁和组织液中的电解质进行交换，所以血浆中的电解质含量与组织液中的基本一致。正离子有 Na+、K+、Ca2+、Mg2+ 等，其中主要是 Na+，负离子主要是 Cl-，还存在少量的 HCO3-、HPO42- 等，它们对形成并维持血浆晶体渗透压，维持酸碱平衡，维持神经细胞的兴奋性起着重要作用。</w:t>
            </w:r>
          </w:p>
          <w:p w14:paraId="425B4C3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当肾功能受损时，NPN 排除受阻而停留在血液中，因此临床上常通过测定血液中的 NPN 和 BUN 的含量来判断肾脏的功能。</w:t>
            </w:r>
          </w:p>
          <w:p w14:paraId="36BFC27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3. 非蛋白含氮有机物　非蛋白含氮有机物为血浆中除蛋白质以外的含氮物的总称，主要包括尿素、肌酸、尿酸、肌酐等。临床上把这些物质中所含有的氮称为非蛋白氮（NPN），其中有 1/3 为血尿素氮（BUN），这些代谢产物均由肾脏排出。</w:t>
            </w:r>
          </w:p>
          <w:p w14:paraId="0F4B6FB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二、血浆渗透压</w:t>
            </w:r>
          </w:p>
          <w:p w14:paraId="01749CB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（一）渗透压</w:t>
            </w:r>
          </w:p>
          <w:p w14:paraId="618C167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溶液中溶质吸引水分子的能力称为渗透压（osmotic pressure）。</w:t>
            </w:r>
          </w:p>
          <w:p w14:paraId="477C73C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通常用渗透克分子（Osm）作为渗透压的单位。因为体液的溶质浓度较低，故医学上用毫渗透克分子（mOsm）作为单位，简称毫渗。</w:t>
            </w:r>
          </w:p>
          <w:p w14:paraId="6940252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（二）血浆渗透压的组成及正常值</w:t>
            </w:r>
          </w:p>
          <w:p w14:paraId="49C9663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血浆内的主要溶质颗粒可以分为晶体物质和胶体物质两大类，因此人体的血浆渗透压包括血浆晶体渗透压（crystal osmotic pressure）和血浆胶体渗透压（colloid osmotic pressure）。晶体渗透压主要由晶体物质（电解质、葡萄糖、尿素等，以 NaCl 为主）形成，其正常值约为 298.7 mOsm/L。胶体渗透压由胶体物质（血浆蛋白，以白蛋白为主）形成，正常值约为 1.3 mOsm/L。血浆总渗透压约为 300 mOsm/L（770 kPa）。</w:t>
            </w:r>
          </w:p>
          <w:p w14:paraId="49CF75C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渗透压与血浆渗透压相近的溶液称为等渗溶液（如 0.9% NaCl 溶液和 5% 葡萄糖溶液），高于或低于血浆渗透压的溶液则相应地称为高渗或低渗溶液。</w:t>
            </w:r>
          </w:p>
          <w:p w14:paraId="4218B01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红细胞不是在所有的等渗溶液中都能保持形态正常，能使悬浮在其中的红细胞形态保持正常的盐溶液称为等张溶液。如 0.9%NaCl 溶液既是等渗溶液又是等张溶液；而 1.9% 的尿素溶液虽然是等渗溶液，但红细胞置于其中会立即发生溶血，所以不是等张溶液。</w:t>
            </w:r>
          </w:p>
          <w:p w14:paraId="2427633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（三）血浆渗透压的生理意义</w:t>
            </w:r>
          </w:p>
          <w:p w14:paraId="37F7B39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1. 血浆晶体渗透压的意义　血浆晶体渗透压在调节细胞内外水的平衡及维持红细胞的正常形态和代谢有非常重要的意义。当血浆晶体渗透压升高时，可吸引红细胞内的水分子透过细胞膜进入血浆，从而使红细胞脱水而发生皱缩。当血浆晶体渗透压下降时，则可使进入红细胞内的水增加，红细胞会发生膨胀，甚至破裂而引起溶血。因此，在临床需要给患者大量输液时，一般应输入等渗溶液。</w:t>
            </w:r>
          </w:p>
          <w:p w14:paraId="48AC86B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bCs/>
                <w:color w:val="538135"/>
                <w:kern w:val="2"/>
                <w:sz w:val="21"/>
                <w:szCs w:val="21"/>
                <w:lang w:val="en-US" w:eastAsia="zh-CN" w:bidi="ar"/>
              </w:rPr>
            </w:pPr>
            <w:r>
              <w:rPr>
                <w:rFonts w:hint="default" w:ascii="宋体" w:hAnsi="宋体" w:eastAsia="宋体" w:cs="宋体"/>
                <w:b w:val="0"/>
                <w:bCs/>
                <w:color w:val="000000"/>
                <w:kern w:val="2"/>
                <w:sz w:val="21"/>
                <w:szCs w:val="21"/>
                <w:lang w:val="en-US" w:eastAsia="zh-CN" w:bidi="ar"/>
              </w:rPr>
              <w:t>2. 血浆胶体渗透压的意义　血浆胶体渗透压主要调节血管内外水的平衡、维持正常血容量。血浆胶体渗透压比组织液胶体渗透压高，使组织液的水分透过毛细血管壁进入血液，维持血容量。临床上有些疾病导致血浆胶体渗透压下降，使进入毛细血管的水分减少，组织间隙的水分增多从而引起水肿。</w:t>
            </w:r>
          </w:p>
          <w:p w14:paraId="37B66419">
            <w:pPr>
              <w:keepNext w:val="0"/>
              <w:keepLines w:val="0"/>
              <w:widowControl w:val="0"/>
              <w:suppressLineNumbers w:val="0"/>
              <w:spacing w:before="0" w:beforeAutospacing="0" w:after="0" w:afterAutospacing="0" w:line="360" w:lineRule="auto"/>
              <w:ind w:left="0" w:right="0"/>
              <w:jc w:val="both"/>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6A181199">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w:t>
            </w:r>
            <w:r>
              <w:rPr>
                <w:rFonts w:hint="eastAsia" w:ascii="Times New Roman" w:hAnsi="Times New Roman"/>
                <w:b/>
                <w:szCs w:val="24"/>
                <w:lang w:val="en-US" w:eastAsia="zh-CN"/>
              </w:rPr>
              <w:t>血浆的基本理论知</w:t>
            </w:r>
            <w:r>
              <w:rPr>
                <w:rFonts w:hint="eastAsia" w:ascii="Times New Roman" w:hAnsi="Times New Roman"/>
                <w:b/>
                <w:szCs w:val="24"/>
              </w:rPr>
              <w:t>识。</w:t>
            </w:r>
          </w:p>
        </w:tc>
      </w:tr>
      <w:tr w14:paraId="02D04A2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71E065FC">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44B5A29A">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1E060767">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59FA91C2">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宋体" w:hAnsi="宋体" w:eastAsia="宋体" w:cs="宋体"/>
                <w:b/>
                <w:bCs w:val="0"/>
                <w:kern w:val="2"/>
                <w:sz w:val="21"/>
                <w:szCs w:val="21"/>
                <w:lang w:val="en-US" w:eastAsia="zh-CN" w:bidi="ar"/>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cs="宋体"/>
                <w:b/>
                <w:bCs w:val="0"/>
                <w:kern w:val="0"/>
                <w:sz w:val="21"/>
                <w:szCs w:val="21"/>
                <w:lang w:val="en-US" w:eastAsia="zh-CN" w:bidi="ar"/>
              </w:rPr>
              <w:t>血浆，让学生知道。血浆包括水和溶解在其中的血浆蛋白、电解质、小分子有机物和一些气体</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0EF939F9">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54DE38E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2BCB7531">
            <w:pPr>
              <w:keepNext w:val="0"/>
              <w:keepLines w:val="0"/>
              <w:widowControl w:val="0"/>
              <w:suppressLineNumbers w:val="0"/>
              <w:spacing w:before="0" w:beforeAutospacing="0" w:after="0" w:afterAutospacing="0" w:line="264"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1814DE93">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4DFDAABF">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简述血浆渗透压的组成。</w:t>
            </w:r>
          </w:p>
        </w:tc>
        <w:tc>
          <w:tcPr>
            <w:tcW w:w="1366" w:type="dxa"/>
            <w:tcBorders>
              <w:tl2br w:val="nil"/>
              <w:tr2bl w:val="nil"/>
            </w:tcBorders>
            <w:vAlign w:val="center"/>
          </w:tcPr>
          <w:p w14:paraId="581BF12A">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511D8D3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014493F7">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51AC0377">
            <w:pPr>
              <w:keepNext w:val="0"/>
              <w:keepLines w:val="0"/>
              <w:widowControl/>
              <w:suppressLineNumbers w:val="0"/>
              <w:spacing w:before="0" w:beforeAutospacing="0" w:after="0" w:afterAutospacing="0" w:line="360" w:lineRule="auto"/>
              <w:ind w:left="0" w:right="0"/>
              <w:jc w:val="left"/>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展示血细胞（一</w:t>
            </w:r>
            <w:r>
              <w:rPr>
                <w:rFonts w:hint="eastAsia" w:ascii="宋体" w:hAnsi="宋体" w:cs="宋体"/>
                <w:b w:val="0"/>
                <w:bCs/>
                <w:color w:val="C00000"/>
                <w:kern w:val="2"/>
                <w:sz w:val="21"/>
                <w:szCs w:val="21"/>
                <w:lang w:val="en-US" w:eastAsia="zh-CN" w:bidi="ar"/>
              </w:rPr>
              <w:t>）</w:t>
            </w:r>
          </w:p>
          <w:p w14:paraId="7A7C590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一、红细胞</w:t>
            </w:r>
          </w:p>
          <w:p w14:paraId="3F1915E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（一）红细胞的正常值和功能</w:t>
            </w:r>
          </w:p>
          <w:p w14:paraId="494BBE1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红细胞的正常值　红细胞（red blood cell，RBC）是血液中数量最多的细胞。人类成熟红细胞无核呈双凹圆碟形，直径为 7 ～ 8 μm。</w:t>
            </w:r>
          </w:p>
          <w:p w14:paraId="01392C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正常参考值见表 3-1。</w:t>
            </w:r>
          </w:p>
          <w:p w14:paraId="40F003E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表 3-1　红细胞的正常值</w:t>
            </w:r>
          </w:p>
          <w:p w14:paraId="2709EEE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RBC Hb</w:t>
            </w:r>
          </w:p>
          <w:p w14:paraId="1FFF206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成年男性 （4.0 ～ 5.5）×1012/L 120 ～ 160g/L</w:t>
            </w:r>
          </w:p>
          <w:p w14:paraId="6A34576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成年女性 （3.5 ～ 5.0）×1012/L 110 ～ 150g/L</w:t>
            </w:r>
          </w:p>
          <w:p w14:paraId="262881A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新生儿 ＞（6.0 ～ 7.0）×1012/L ＞ 110 ～ 200g/L</w:t>
            </w:r>
          </w:p>
          <w:p w14:paraId="4CE123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血液中红细胞数量和（或）血红蛋白含量降低，称为贫血（anemia）。长期居住在高原地区的人，其红细胞和血红蛋白的数量都比平原居民要高。</w:t>
            </w:r>
          </w:p>
          <w:p w14:paraId="4C2973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红细胞的功能　红细胞的主要功能是运输氧气和二氧化碳，该功能是通过血红蛋白（hemoglobin，Hb）来完成的。血红蛋白存在于红细胞内才能发挥运输作用，红细胞发生破裂溶血时，血红蛋白逸出，红细胞则丧失其运输氧的功能。若血红蛋白与 CO 结合形成 HbCO，或其分子中所含有的 Fe2+ 被氧化成 Fe3+ 而形成高铁血红蛋白后，红细胞都将丧失该功能。红细胞的另一个功能是参与对血浆酸碱度的调节，红细胞内存在着缓冲对，能维持血液 pH 值的平衡。</w:t>
            </w:r>
          </w:p>
          <w:p w14:paraId="2E564A2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（二）红细胞的生理特性</w:t>
            </w:r>
          </w:p>
          <w:p w14:paraId="092CDCE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渗透脆性　将红细胞置于不同浓度的 NaCl 溶液中会观察到不同的现象，在0.9%NaCl 溶液中，红细胞保持其正常大小和形态。若将红细胞置于浓度递减的一系列NaCl 溶液中，水会在渗透压的作用下逐渐渗入红细胞内，红细胞体积逐步胀大变成球形，当其过度膨胀时，红细胞会破裂，Hb 逸出，此过程称为溶血（hemolysis）。正常人红细胞在 0.42% ～ 0.46% NaCl 溶液中开始发生溶血，在 0.28% ～ 0.32% NaCl 溶液中则完全溶血。这表明红细胞对低渗溶液具有一定的抵抗力，我们把红细胞在低渗溶液中发生膨胀甚至破裂的特性称为渗透脆性（osmotic fragility），简称脆性。</w:t>
            </w:r>
          </w:p>
          <w:p w14:paraId="61242B8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红细胞的渗透脆性与红细胞膜对低渗溶液的抵抗力成反变关系。成熟的红细胞脆性小，不易破裂，而衰老的红细胞脆性大，容易破裂。</w:t>
            </w:r>
          </w:p>
          <w:p w14:paraId="765D244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悬浮稳定性　将红细胞稳定悬浮于血浆中而不易下沉的特性称为红细胞悬浮稳定性（suspension stability），通常用红细胞沉降率（erythrocyte sedimentation rate，ESR）</w:t>
            </w:r>
          </w:p>
          <w:p w14:paraId="5C633BB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来表示，简称血沉。用长管法（韦氏法）测定时，成年男性为 0 ～ 15 mm/h，成年女性为 0 ～ 20 mm/h。</w:t>
            </w:r>
          </w:p>
          <w:p w14:paraId="30F7AF3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某些疾病能导致血沉加快，如活动性肺结核、风湿热等，而女性月经期、妊娠期血沉也加快。实验证明血浆白蛋白含量增加能提高红细胞的悬浮稳定性，血沉减慢；而球蛋白和纤维蛋白原增多则使红细胞的悬浮稳定性降低，血沉加快。</w:t>
            </w:r>
          </w:p>
          <w:p w14:paraId="60A99B8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红细胞的可塑变形性　红细胞的可塑变形性指红细胞具有的可塑变形的能力，血液循环中的红细胞能通过比它直径小得多的毛细血管和血窦孔隙，而后又恢复其正常形态。</w:t>
            </w:r>
          </w:p>
          <w:p w14:paraId="1A4EC04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（三）红细胞的生成与破坏</w:t>
            </w:r>
          </w:p>
          <w:p w14:paraId="28F7D66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红细胞的生成</w:t>
            </w:r>
          </w:p>
          <w:p w14:paraId="025339D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知识链接</w:t>
            </w:r>
          </w:p>
          <w:p w14:paraId="5F93AC0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再生障碍性贫血——骨髓造血功能障碍。</w:t>
            </w:r>
          </w:p>
          <w:p w14:paraId="19EBCF1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缺铁性贫血（低色素小细胞性贫血）——铁缺乏。</w:t>
            </w:r>
          </w:p>
          <w:p w14:paraId="5218AA8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巨幼红细胞性贫血——缺乏叶酸或维生素 B12。</w:t>
            </w:r>
          </w:p>
          <w:p w14:paraId="46D2457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肾性贫血——肾脏疾病导致 EPO 缺乏。</w:t>
            </w:r>
          </w:p>
          <w:p w14:paraId="5CC95C5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（1）生成部位：胚胎时期，红细胞生成部位在卵黄囊、肝、脾和骨髓；出生以后，主要在红骨髓。若骨髓造血功能受物理（X 射线、放射线、核素等）、化学、药物（抗癌药、氯霉素）等因素影响而被抑制时，会使骨髓造血功能发生障碍，导致全血细胞减少。</w:t>
            </w:r>
          </w:p>
          <w:p w14:paraId="784B9D9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（2）造血原料：红细胞的主要成分是血红蛋白，而铁（Fe2+）和蛋白质就是合成血红蛋白的主要原料。正常成人每天需要 20 ～ 30 mg 铁用于红细胞的合成。</w:t>
            </w:r>
          </w:p>
          <w:p w14:paraId="21BF26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（3）促成熟因子——叶酸和维生素 B12：叶酸和维生素 B12 被称为红细胞的促成熟因子，简称成熟因子。维生素 B12 的吸收有赖于内因子参与，当内因子缺乏时，维生素B12 吸收障碍。</w:t>
            </w:r>
          </w:p>
          <w:p w14:paraId="65743CE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（4）生成调节：红细胞生成的调节主要依赖促红细胞生成素和雄激素两种因子。①促红细胞生成素（erythropoietin，EPO）主要由肾脏产生，低氧是刺激肾产生 EPO 增多的主要原因。②雄激素既可以直接刺激骨髓造血，还可以作用于肾，产生 EPO，使血液中红细胞数量增加。因此，青春期后男性红细胞数量多于女性。</w:t>
            </w:r>
          </w:p>
          <w:p w14:paraId="6805968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红细胞的破坏　红细胞的平均寿命为 120 天。衰老或破损的红细胞，通常在肝、脾内被巨噬细胞所吞噬，经消化后，释放出来的铁可被再次利用。</w:t>
            </w:r>
          </w:p>
          <w:p w14:paraId="7D28D29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二、白细胞</w:t>
            </w:r>
          </w:p>
          <w:p w14:paraId="2C00731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（一）正常值和分类</w:t>
            </w:r>
          </w:p>
          <w:p w14:paraId="3D66348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白细胞（white blood cell，WBC）是一类有核的血细胞，在血液中一般呈球形，在组织中则有不同程度的变形。我国正常成年人白细胞总数为（4.0 ～ 10.0）×109/L。白细胞的数量可因年龄和机体处于不同的状态而有所变化：婴幼儿、剧烈运动、进食、情绪激动以及女性月经期、妊娠期和分娩时，白细胞数量增多。</w:t>
            </w:r>
          </w:p>
          <w:p w14:paraId="5973357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依据白细胞的胞质中是否含有特殊的嗜色颗粒，可将其分为粒细胞和无粒细胞两大类：粒细胞又可根据所含嗜色颗粒的性质，分为中性粒细胞、嗜酸性粒细胞和嗜碱性粒细胞；无粒细胞可分为单核细胞和淋巴细胞。显微镜下计数这五类白细胞的百分比，称为白细胞分类计数（表 3-2）。</w:t>
            </w:r>
          </w:p>
          <w:p w14:paraId="663C04F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表 3-2　正常成人各类白细胞的正常值</w:t>
            </w:r>
          </w:p>
          <w:p w14:paraId="66832A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分类 正常值（×109</w:t>
            </w:r>
          </w:p>
          <w:p w14:paraId="3345F9E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/L） 百分比（%）</w:t>
            </w:r>
          </w:p>
          <w:p w14:paraId="7E29F44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粒细胞 中性粒细胞 2.0 ～ 7.0 50 ～ 70</w:t>
            </w:r>
          </w:p>
          <w:p w14:paraId="7E57EB8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嗜酸性粒细胞 0.02 ～ 0.5 0.5 ～ 5</w:t>
            </w:r>
          </w:p>
          <w:p w14:paraId="49A4C0F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嗜碱性粒细胞 0.0 ～ 1.0 0 ～ 1</w:t>
            </w:r>
          </w:p>
          <w:p w14:paraId="1E29CE0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无粒细胞 单核细胞 0.12 ～ 0.8 3 ～ 8</w:t>
            </w:r>
          </w:p>
          <w:p w14:paraId="27A9F5D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淋巴细胞 0.8 ～ 4.0 20 ～ 40</w:t>
            </w:r>
          </w:p>
          <w:p w14:paraId="43B2153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白细胞总数　 4.0 ～ 10.0</w:t>
            </w:r>
          </w:p>
          <w:p w14:paraId="2EDB239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（二）白细胞的功能</w:t>
            </w:r>
          </w:p>
          <w:p w14:paraId="733DFAA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白细胞主要参与机体的防御。人体细胞的降解产物，如抗原 - 抗体复合物、细菌、细菌毒素等都对白细胞具有趋化作用，白细胞根据这些化学物质的浓度游走到这些物质的周围，发挥吞噬作用。</w:t>
            </w:r>
          </w:p>
          <w:p w14:paraId="5A0985F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中性粒细胞　在人体非特异性免疫中，中性粒细胞总是处于抵抗病原微生物的第一线，特别是对急性化脓性细菌。当中性粒细胞吞噬十来个细菌时，其本身立即解体，释放各种溶酶体酶溶解周围组织而形成脓液。而当血液中的中性粒细胞减少到 1×109/ L时，机体抵抗力明显下降，极易引发感染。</w:t>
            </w:r>
          </w:p>
          <w:p w14:paraId="51BDE97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嗜碱性粒细胞　嗜碱性粒细胞可以合成并释放嗜酸性粒细胞趋化因子 A、组胺、过敏性慢反应物质、肝素等。嗜酸性粒细胞趋化因子 A 能吸引嗜酸性粒细胞聚集于某一局部，以限制嗜碱性粒细胞在速发型过敏反应中的作用；组胺和过敏性慢反应物质，能引起荨麻疹、支气管哮喘等速发性超敏反应；肝素则具有很强的抗凝作用。</w:t>
            </w:r>
          </w:p>
          <w:p w14:paraId="5AC2F4D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嗜酸性粒细胞　嗜酸性粒细胞主要作用是限制肥大细胞和嗜碱性粒细胞引起的过敏反应，还能参与蠕虫的免疫反应。当机体发生过敏反应，或有蠕虫感染时，嗜酸性粒细胞的数量将增加。</w:t>
            </w:r>
          </w:p>
          <w:p w14:paraId="381FC1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单核细胞　单核细胞在血液中停留 2 ～ 3 天后就离开血管进入组织中，此时细胞体积增大，所含溶酶体增多，吞噬和消化能力增加，成为成熟的细胞，即巨噬细胞。其主要作用有：①激活淋巴细胞的特异免疫功能；②吞噬和杀伤细菌、疟原虫和真菌等病原体或衰老损伤的组织细胞；③识别和杀伤肿瘤细胞。</w:t>
            </w:r>
          </w:p>
          <w:p w14:paraId="525D63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 淋巴细胞　淋巴细胞主要在机体的特异性免疫过程中起核心作用。按其细胞表面标志和功能，淋巴细胞分成 T 淋巴细胞、B 淋巴细胞和自然杀伤细胞 （natural killer ，NK） 三大类。T 细胞主要与细胞免疫有关，B 细胞主要与体液免疫有关，NK 细胞则是机体固有免疫的重要执行者，能够直接杀伤被病毒感染的自身细胞或者肿瘤细胞。</w:t>
            </w:r>
          </w:p>
          <w:p w14:paraId="3239BF9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706A7527">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教师通过</w:t>
            </w:r>
            <w:r>
              <w:rPr>
                <w:rFonts w:hint="eastAsia" w:ascii="Times New Roman" w:hAnsi="Times New Roman"/>
                <w:b/>
                <w:szCs w:val="24"/>
                <w:lang w:eastAsia="zh-CN"/>
              </w:rPr>
              <w:t>血细胞（一）展示</w:t>
            </w:r>
            <w:r>
              <w:rPr>
                <w:rFonts w:hint="eastAsia" w:ascii="Times New Roman" w:hAnsi="Times New Roman"/>
                <w:b/>
                <w:szCs w:val="24"/>
              </w:rPr>
              <w:t>，</w:t>
            </w:r>
            <w:r>
              <w:rPr>
                <w:rFonts w:hint="eastAsia" w:ascii="Times New Roman" w:hAnsi="Times New Roman"/>
                <w:b/>
                <w:szCs w:val="24"/>
                <w:lang w:eastAsia="zh-CN"/>
              </w:rPr>
              <w:t>让</w:t>
            </w:r>
            <w:r>
              <w:rPr>
                <w:rFonts w:hint="eastAsia" w:ascii="Times New Roman" w:hAnsi="Times New Roman"/>
                <w:b/>
                <w:szCs w:val="24"/>
              </w:rPr>
              <w:t>学生了解</w:t>
            </w:r>
            <w:r>
              <w:rPr>
                <w:rFonts w:hint="eastAsia" w:ascii="Times New Roman" w:hAnsi="Times New Roman"/>
                <w:b/>
                <w:szCs w:val="24"/>
                <w:lang w:eastAsia="zh-CN"/>
              </w:rPr>
              <w:t>血细胞</w:t>
            </w:r>
            <w:r>
              <w:rPr>
                <w:rFonts w:hint="eastAsia" w:ascii="Times New Roman" w:hAnsi="Times New Roman"/>
                <w:b/>
                <w:szCs w:val="24"/>
              </w:rPr>
              <w:t>（一）的基本理论知识。</w:t>
            </w:r>
          </w:p>
        </w:tc>
      </w:tr>
      <w:tr w14:paraId="2B8864D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44BA68E0">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42236167">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52368AD8">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6EF3F713">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cs="宋体"/>
                <w:b/>
                <w:bCs w:val="0"/>
                <w:kern w:val="0"/>
                <w:sz w:val="21"/>
                <w:szCs w:val="21"/>
                <w:lang w:val="en-US" w:eastAsia="zh-CN" w:bidi="ar"/>
              </w:rPr>
              <w:t>血细胞</w:t>
            </w:r>
            <w:r>
              <w:rPr>
                <w:rFonts w:hint="eastAsia" w:ascii="宋体" w:hAnsi="宋体" w:eastAsia="宋体" w:cs="宋体"/>
                <w:b/>
                <w:bCs w:val="0"/>
                <w:kern w:val="0"/>
                <w:sz w:val="21"/>
                <w:szCs w:val="21"/>
                <w:lang w:val="en-US" w:eastAsia="zh-CN" w:bidi="ar"/>
              </w:rPr>
              <w:t>（一）</w:t>
            </w:r>
            <w:r>
              <w:rPr>
                <w:rFonts w:hint="eastAsia" w:ascii="宋体" w:hAnsi="宋体" w:cs="宋体"/>
                <w:b/>
                <w:bCs w:val="0"/>
                <w:kern w:val="0"/>
                <w:sz w:val="21"/>
                <w:szCs w:val="21"/>
                <w:lang w:val="en-US" w:eastAsia="zh-CN" w:bidi="ar"/>
              </w:rPr>
              <w:t>，幼儿园及学校所使用的黑板和粉笔也经常用作简笔画的工具。</w:t>
            </w:r>
          </w:p>
        </w:tc>
        <w:tc>
          <w:tcPr>
            <w:tcW w:w="1366" w:type="dxa"/>
            <w:tcBorders>
              <w:tl2br w:val="nil"/>
              <w:tr2bl w:val="nil"/>
            </w:tcBorders>
            <w:vAlign w:val="center"/>
          </w:tcPr>
          <w:p w14:paraId="578569F6">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0129F1E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6AEE48BB">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2D35E255">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4958E1C5">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简述彩色铅笔的主要特点</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4BB365E9">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29E3C4B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0BFA0331">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64CE5880">
            <w:pPr>
              <w:keepNext w:val="0"/>
              <w:keepLines w:val="0"/>
              <w:widowControl/>
              <w:suppressLineNumbers w:val="0"/>
              <w:spacing w:before="0" w:beforeAutospacing="0" w:after="0" w:afterAutospacing="0" w:line="360" w:lineRule="auto"/>
              <w:ind w:left="0" w:right="0"/>
              <w:jc w:val="left"/>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展示血细胞（</w:t>
            </w:r>
            <w:r>
              <w:rPr>
                <w:rFonts w:hint="eastAsia" w:ascii="宋体" w:hAnsi="宋体" w:cs="宋体"/>
                <w:b w:val="0"/>
                <w:bCs/>
                <w:color w:val="C00000"/>
                <w:kern w:val="2"/>
                <w:sz w:val="21"/>
                <w:szCs w:val="21"/>
                <w:lang w:val="en-US" w:eastAsia="zh-CN" w:bidi="ar"/>
              </w:rPr>
              <w:t>二）</w:t>
            </w:r>
          </w:p>
          <w:p w14:paraId="13222AF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三、血小板</w:t>
            </w:r>
          </w:p>
          <w:p w14:paraId="55C6C5D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血小板（platelet）是从骨髓巨核细胞质脱落形成的具有代谢能力的小块细胞质碎片。</w:t>
            </w:r>
          </w:p>
          <w:p w14:paraId="793B8C1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（一）血小板的正常值</w:t>
            </w:r>
          </w:p>
          <w:p w14:paraId="555619E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正常成人血小板的数量为（100 ～ 300）×109/ L。血小板的数量可随机体的状态而发生波动，如妇女月经期血小板减少，妊娠、进食、运动及缺氧可使血小板增多。某些疾病也可使血小板的数量发生改变，如特发性血小板减少性紫癜可使血小板数量减少。</w:t>
            </w:r>
          </w:p>
          <w:p w14:paraId="60C3CE8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一般情况下，血小板数量超过 1000×109/L 称为血小板过多，易发生血栓；血小板数量低于 50×109/L 则称为血小板减少，容易出现出血倾向。</w:t>
            </w:r>
          </w:p>
          <w:p w14:paraId="11D0D78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（二）血小板的生理特征</w:t>
            </w:r>
          </w:p>
          <w:p w14:paraId="56F7604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黏附　血小板与非血小板表面的黏着称为血小板黏附（platelet adhesion）。当血管内皮细胞受损时，流经此血管的血小板被血管内皮下组织表面激活，立即黏附于损伤处暴露出来的胶原纤维上。</w:t>
            </w:r>
          </w:p>
          <w:p w14:paraId="5BBBB3C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2. 释放　血小板受刺激后，将其颗粒中的 ADP、5- 羟色胺、儿茶酚胺和血小板因子等活性物质排出的过程称为血小板释放（platelet release）。血小板释放的物质可进一步促进血小板活化、聚集，加速止血过程。 </w:t>
            </w:r>
          </w:p>
          <w:p w14:paraId="2B56FCD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聚 集　 血 小 板 与 血 小 板 之 间 的 相 互 黏 着， 称 为 血 小 板 聚 集（platelet aggregation）。</w:t>
            </w:r>
          </w:p>
          <w:p w14:paraId="3100BC3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收缩　血凝块中的血小板将伪足伸入血纤维网中，通过收缩蛋白收缩，使血凝块收缩，形成坚固的止血栓。</w:t>
            </w:r>
          </w:p>
          <w:p w14:paraId="407EA59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 吸附　血小板表面可吸附多种凝血因子，使血管破损部位局部的凝血因子浓度显著增高，利于破损处血液凝固和生理止血。</w:t>
            </w:r>
          </w:p>
          <w:p w14:paraId="7F8EF2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（三）血小板的生理功能</w:t>
            </w:r>
          </w:p>
          <w:p w14:paraId="30778F4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维持毛细血管壁正常通透性　血小板对毛细血管内皮细胞有营养和支持的作用。当血管内皮细胞发生脱落时，血小板可以融入血管内皮细胞，填补血管内皮细胞脱落留下的空隙，维持毛细血管壁的正常通透性，使红细胞不易逸出。当血小板减少到50×109 / L 时，毛细血管壁脆性增加，出现皮肤、黏膜下出血。</w:t>
            </w:r>
          </w:p>
          <w:p w14:paraId="6D79011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促进凝血　血小板促进凝血的作用表现在很多方面。血小板含有许多与凝血过程有关的因子，统称为血小板因子（PF），这些因子中有的可以为凝血因子的反应提供磷脂表面，使凝血酶原激活速度加快 2 万倍；有的可以释放纤维蛋白原，加速纤维蛋白的形成，还有的可以参与血凝块收缩的过程等。</w:t>
            </w:r>
          </w:p>
          <w:p w14:paraId="77AF6F9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参与生理性止血　正常情况下，小血管损伤，血液从小血管内流出，数分钟后出血会自行停止的现象，称为生理性止血（physiologic he</w:t>
            </w:r>
            <w:r>
              <w:rPr>
                <w:rFonts w:hint="eastAsia" w:ascii="宋体" w:hAnsi="宋体" w:cs="宋体"/>
                <w:b w:val="0"/>
                <w:bCs/>
                <w:color w:val="000000"/>
                <w:kern w:val="2"/>
                <w:sz w:val="21"/>
                <w:szCs w:val="21"/>
                <w:lang w:val="en-US" w:eastAsia="zh-CN" w:bidi="ar"/>
              </w:rPr>
              <w:t xml:space="preserve"> </w:t>
            </w:r>
            <w:r>
              <w:rPr>
                <w:rFonts w:hint="eastAsia" w:ascii="宋体" w:hAnsi="宋体" w:eastAsia="宋体" w:cs="宋体"/>
                <w:b w:val="0"/>
                <w:bCs/>
                <w:color w:val="000000"/>
                <w:kern w:val="2"/>
                <w:sz w:val="21"/>
                <w:szCs w:val="21"/>
                <w:lang w:val="en-US" w:eastAsia="zh-CN" w:bidi="ar"/>
              </w:rPr>
              <w:t>mo</w:t>
            </w:r>
            <w:r>
              <w:rPr>
                <w:rFonts w:hint="eastAsia" w:ascii="宋体" w:hAnsi="宋体" w:cs="宋体"/>
                <w:b w:val="0"/>
                <w:bCs/>
                <w:color w:val="000000"/>
                <w:kern w:val="2"/>
                <w:sz w:val="21"/>
                <w:szCs w:val="21"/>
                <w:lang w:val="en-US" w:eastAsia="zh-CN" w:bidi="ar"/>
              </w:rPr>
              <w:t xml:space="preserve"> </w:t>
            </w:r>
            <w:r>
              <w:rPr>
                <w:rFonts w:hint="eastAsia" w:ascii="宋体" w:hAnsi="宋体" w:eastAsia="宋体" w:cs="宋体"/>
                <w:b w:val="0"/>
                <w:bCs/>
                <w:color w:val="000000"/>
                <w:kern w:val="2"/>
                <w:sz w:val="21"/>
                <w:szCs w:val="21"/>
                <w:lang w:val="en-US" w:eastAsia="zh-CN" w:bidi="ar"/>
              </w:rPr>
              <w:t>stasis）。生理性止血与血小板的功能和数量有着密切的关系。从出血到停止出血的间隔时间称为出血时间（bleeding time），正常为 1 ～ 3 min。出血时间的长短可以反映生理性止血功能状态。</w:t>
            </w:r>
          </w:p>
          <w:p w14:paraId="142C648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133C78DF">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教师通过</w:t>
            </w:r>
            <w:r>
              <w:rPr>
                <w:rFonts w:hint="eastAsia" w:ascii="Times New Roman" w:hAnsi="Times New Roman"/>
                <w:b/>
                <w:szCs w:val="24"/>
                <w:lang w:eastAsia="zh-CN"/>
              </w:rPr>
              <w:t>血细胞（</w:t>
            </w:r>
            <w:r>
              <w:rPr>
                <w:rFonts w:hint="eastAsia" w:ascii="Times New Roman" w:hAnsi="Times New Roman"/>
                <w:b/>
                <w:szCs w:val="24"/>
                <w:lang w:val="en-US" w:eastAsia="zh-CN"/>
              </w:rPr>
              <w:t>二</w:t>
            </w:r>
            <w:r>
              <w:rPr>
                <w:rFonts w:hint="eastAsia" w:ascii="Times New Roman" w:hAnsi="Times New Roman"/>
                <w:b/>
                <w:szCs w:val="24"/>
                <w:lang w:eastAsia="zh-CN"/>
              </w:rPr>
              <w:t>）展示</w:t>
            </w:r>
            <w:r>
              <w:rPr>
                <w:rFonts w:hint="eastAsia" w:ascii="Times New Roman" w:hAnsi="Times New Roman"/>
                <w:b/>
                <w:szCs w:val="24"/>
              </w:rPr>
              <w:t>，</w:t>
            </w:r>
            <w:r>
              <w:rPr>
                <w:rFonts w:hint="eastAsia" w:ascii="Times New Roman" w:hAnsi="Times New Roman"/>
                <w:b/>
                <w:szCs w:val="24"/>
                <w:lang w:eastAsia="zh-CN"/>
              </w:rPr>
              <w:t>让</w:t>
            </w:r>
            <w:r>
              <w:rPr>
                <w:rFonts w:hint="eastAsia" w:ascii="Times New Roman" w:hAnsi="Times New Roman"/>
                <w:b/>
                <w:szCs w:val="24"/>
              </w:rPr>
              <w:t>学生了解</w:t>
            </w:r>
            <w:r>
              <w:rPr>
                <w:rFonts w:hint="eastAsia" w:ascii="Times New Roman" w:hAnsi="Times New Roman"/>
                <w:b/>
                <w:szCs w:val="24"/>
                <w:lang w:eastAsia="zh-CN"/>
              </w:rPr>
              <w:t>血细胞</w:t>
            </w:r>
            <w:r>
              <w:rPr>
                <w:rFonts w:hint="eastAsia" w:ascii="Times New Roman" w:hAnsi="Times New Roman"/>
                <w:b/>
                <w:szCs w:val="24"/>
              </w:rPr>
              <w:t>（</w:t>
            </w:r>
            <w:r>
              <w:rPr>
                <w:rFonts w:hint="eastAsia" w:ascii="Times New Roman" w:hAnsi="Times New Roman"/>
                <w:b/>
                <w:szCs w:val="24"/>
                <w:lang w:val="en-US" w:eastAsia="zh-CN"/>
              </w:rPr>
              <w:t>二</w:t>
            </w:r>
            <w:r>
              <w:rPr>
                <w:rFonts w:hint="eastAsia" w:ascii="Times New Roman" w:hAnsi="Times New Roman"/>
                <w:b/>
                <w:szCs w:val="24"/>
              </w:rPr>
              <w:t>）的基本理论知识。</w:t>
            </w:r>
          </w:p>
        </w:tc>
      </w:tr>
      <w:tr w14:paraId="6C57971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5F229338">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5E341931">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2FCB4824">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20215CF5">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cs="宋体"/>
                <w:b/>
                <w:bCs w:val="0"/>
                <w:kern w:val="0"/>
                <w:sz w:val="21"/>
                <w:szCs w:val="21"/>
                <w:lang w:val="en-US" w:eastAsia="zh-CN" w:bidi="ar"/>
              </w:rPr>
              <w:t>血细胞</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二</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，某些疾病也可使血小板的数量发生改变，如特发性血小板减少性紫癜可使血小板数量减少。</w:t>
            </w:r>
          </w:p>
        </w:tc>
        <w:tc>
          <w:tcPr>
            <w:tcW w:w="1366" w:type="dxa"/>
            <w:tcBorders>
              <w:tl2br w:val="nil"/>
              <w:tr2bl w:val="nil"/>
            </w:tcBorders>
            <w:vAlign w:val="center"/>
          </w:tcPr>
          <w:p w14:paraId="6596487C">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4AD610C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37458148">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1F101634">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052A776F">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简述缺铁性贫血的病因。</w:t>
            </w:r>
          </w:p>
        </w:tc>
        <w:tc>
          <w:tcPr>
            <w:tcW w:w="1366" w:type="dxa"/>
            <w:tcBorders>
              <w:tl2br w:val="nil"/>
              <w:tr2bl w:val="nil"/>
            </w:tcBorders>
            <w:vAlign w:val="center"/>
          </w:tcPr>
          <w:p w14:paraId="29551DC9">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37868A0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297F8878">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189DB3B1">
            <w:pPr>
              <w:keepNext w:val="0"/>
              <w:keepLines w:val="0"/>
              <w:widowControl/>
              <w:suppressLineNumbers w:val="0"/>
              <w:spacing w:before="0" w:beforeAutospacing="0" w:after="0" w:afterAutospacing="0" w:line="360" w:lineRule="auto"/>
              <w:ind w:left="0" w:right="0"/>
              <w:jc w:val="left"/>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展示血液凝固与纤维蛋白溶解</w:t>
            </w:r>
          </w:p>
          <w:p w14:paraId="71EFCEB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一、血液凝固</w:t>
            </w:r>
          </w:p>
          <w:p w14:paraId="7D22F04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血液凝固（blood coagulation）是指血液由流动的液体状态变成不能流动的凝胶状态的过程。其实质就是血浆中的可溶性纤维蛋白原转变为不溶性纤维蛋白的过程。血液凝固后，血凝块发生回缩析出的淡黄色液体，称为血清（serum）。血清与血浆的区别在于，前者缺乏纤维蛋白原和血凝过程中消耗的其他凝血因子，但又增添了少量凝血时由血管内皮细胞和血小板释放出来的物质。</w:t>
            </w:r>
          </w:p>
          <w:p w14:paraId="627DF48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（一）凝血因子</w:t>
            </w:r>
          </w:p>
          <w:p w14:paraId="47C2F10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血浆和组织中直接参与血液凝固过程的物质，称为凝血因子（clotting factor）。根据世界卫生组织（WHO）的统一命名原则，用罗马数字按照各因子被发现的顺序编号。</w:t>
            </w:r>
          </w:p>
          <w:p w14:paraId="2C750BB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IV 钙离子（Ca2+） XI 血浆凝血致活酶前质（PTA）</w:t>
            </w:r>
          </w:p>
          <w:p w14:paraId="180F274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V 前加速素易变因子 XII 接触因子VII 前转变素稳定因子 XIII 纤维蛋白稳定因子凝血因子的特点：①凝血因子大都存在于血浆中，仅 III 因子存在于组织中。②除因子 IV 是 Ca2+ 外，其余均属蛋白质。③部分因子以无活性的酶原形式存在于血浆中，必须激活才具有活性。被激活的因子通常在其右下角标“a”（activated），表示“活性型”凝血因子。④大多数凝血因子在肝内合成，并需要维生素 K 的参与（如 II、VII、IX、X），当肝受损或维生素 K 缺乏时，将导致凝血障碍而发生出血倾向。</w:t>
            </w:r>
          </w:p>
          <w:p w14:paraId="7F9FAEC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（二）血液凝固的过程</w:t>
            </w:r>
          </w:p>
          <w:p w14:paraId="6383C51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血液凝固是许多凝血因子共同参与的一系列复杂的酶促反应过程，最终形成纤维蛋白凝块。血液凝固的过程分为三个阶段：形成凝血酶原激活物、形成凝血酶、形成纤维蛋白。</w:t>
            </w:r>
          </w:p>
          <w:p w14:paraId="12EE40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形成凝血酶原激活物　凝血酶原激</w:t>
            </w:r>
          </w:p>
          <w:p w14:paraId="6214851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活物是指因子 Xa、Vα 被 Ca2+ 连接在 PF3 表面形成的复合物。</w:t>
            </w:r>
          </w:p>
          <w:p w14:paraId="75435F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通常根据激活因子 X 的过程不同，将血液凝固的过程分为内源性凝血途径（intrinsic pathway）和外源性凝血途径（extrinsic pathway）。</w:t>
            </w:r>
          </w:p>
          <w:p w14:paraId="2AFB0F0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（1）内源性凝血途径：指所有参与凝血的凝血因子都存在于血浆中。当血管内皮受损暴露出胶原纤维时，胶原纤维与因子Ⅻ接触，可使其活化形成Ⅻa，Ⅻa 可激活前激肽释放酶使之成为激肽释放酶，后者反过来又激活因子Ⅻ，这一正反馈形成了大量Ⅻa。Ⅻa 激活因子Ⅺ成为Ⅺa。因子Ⅺa 在 Ca2+存在的条件下，可将因子Ⅸ激活为Ⅸa，Ⅸ与 、PF3 和 Ca2+ 形成Ⅷ复合物。Ⅷ复合物中Ⅸa 是一种蛋白水解酶，能使因子 X 水解而被激活形成 Xa。因子Ⅷ是辅助因子，可使激活反应的速度提高 20 万倍。激活 X 后，内源性凝血和外源性凝血进入同一途径，即 Xa 与 Vα、Ca2+ 和 PF3 形成凝血酶原激活物。</w:t>
            </w:r>
          </w:p>
          <w:p w14:paraId="711F285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（2）外源性凝血途径：指在凝血过程中有血液外的凝血因子，即组织因子 Ⅲ 参与。</w:t>
            </w:r>
          </w:p>
          <w:p w14:paraId="60E25C4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通常是在组织损伤、血管破裂时，由组织释放的因子Ⅲ与血浆中的Ⅶ、Ca2+ 共同形成Ⅶ复合物，使因子 X 激活为 Xa，其后反应与内源性凝血完全相同。</w:t>
            </w:r>
          </w:p>
          <w:p w14:paraId="60CDDAC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在通常情况下，机体发生的凝血过程，多是由内源和外源凝血两条途径同时进行的。</w:t>
            </w:r>
          </w:p>
          <w:p w14:paraId="32C71C5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临床上常用的简单促凝血的方法有升高温度和增加粗糙面，如手术中用温热盐水纱布止血。而抗凝则用抗凝剂，如草酸盐、枸橼酸盐可与血浆中的 Ca2+结合形成沉淀或络合物来抗凝。</w:t>
            </w:r>
          </w:p>
          <w:p w14:paraId="14949BE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凝血酶形成　凝血酶生成是凝血反应的关键步骤，凝血酶原激活物形成后的几秒钟内即可激活凝血酶原（因子Ⅱ），使之成为具有活性的凝血酶（Ⅱa）。</w:t>
            </w:r>
          </w:p>
          <w:p w14:paraId="5C315A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纤维蛋白形成　凝血酶的主要作用是使纤维蛋白原转变成纤维蛋白单体，同时还能激活 成为 a，在 Ca2+ 和 a 的共同作用下，纤维蛋白单体变为牢固的不溶性的纤维蛋白的多聚体。纤维蛋白相互交错连接成网，网罗血细胞形成血凝块，至此凝血过程全部完成。</w:t>
            </w:r>
          </w:p>
          <w:p w14:paraId="0B01E46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综上所述，血液凝固是一系列复杂的过程，有以下几个特点：①血液凝固过程是一个正反馈，一旦触发就会迅速进行，直到完成为止。② Ca2+（因子Ⅳ）在多个凝血环节上起促凝作用，临床常通过减少血浆中 Ca2+ 的量而起到抗凝的作用。③凝血过程本质上是一系列酶促连锁反应，每个步骤都有着密切的联系，一个环节受阻则整个凝血过程就会停止。</w:t>
            </w:r>
          </w:p>
          <w:p w14:paraId="00F227D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（三）抗凝血系统</w:t>
            </w:r>
          </w:p>
          <w:p w14:paraId="6747594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体内存在多种凝血因子，但生理状态下，血液在血管内不会发生凝血，这说明体内还存在着与凝血系统相对抗的抗凝系统。</w:t>
            </w:r>
          </w:p>
          <w:p w14:paraId="7415EE9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目前知道的体内的抗凝系统包括细胞抗凝系统和体液抗凝系统。细胞抗凝系统包括血管内皮细胞和网状内皮细胞。血管内皮细胞表面光滑，从而使因子Ⅻ不易激活、血小板不易黏附聚集，凝血反应不易发生；同时血管内皮细胞生成的前列环素等物质具有抗凝血作用。网状内皮细胞主要是清除进入血流的促凝物质而实现抗凝。</w:t>
            </w:r>
          </w:p>
          <w:p w14:paraId="17504BF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在抗凝时体液抗凝系统发挥更重要的作用，以下是几种主要的抗凝物质。</w:t>
            </w:r>
          </w:p>
          <w:p w14:paraId="04A5E68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抗凝血酶 Ⅲ 抗凝血酶Ⅲ（antithrombin Ⅲ）是由肝合成分泌的一种物质，通过其中精氨酸残基与凝血酶和因子Ⅸa、Xa、Ⅺa、Ⅻa 活性部位的丝氨酸残基结合，封闭这些凝血因子的活性中心使之灭活，从而产生抗凝作用。正常情况下抗凝血酶Ⅲ的直接抗凝作用非常缓慢且较弱，但当它与肝素结合后，其抗凝作用可增强上千倍。</w:t>
            </w:r>
          </w:p>
          <w:p w14:paraId="7CF743E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肝素　肝素（heparin）是由肥大细胞和嗜碱性粒细胞产生。在肺、心、肝、肌组织中含量丰富，而在血浆中含量甚少。其抗凝机制为：①增加抗凝物质的抗凝活性，如肝素与抗凝血酶Ⅲ结合，可使抗凝血酶Ⅲ与凝血酶的亲和力增强约 100 倍；②刺激血管内皮细胞释放其他抗凝物质抑制凝血过程；③抑制血小板的黏着、聚集和释放反应。</w:t>
            </w:r>
          </w:p>
          <w:p w14:paraId="6D405CC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蛋白质 C 系统　关键物质是蛋白质 C，是由肝脏合成的维生素 K 依赖因子。其主要作用是：①水解灭活因子 Va 和 a；②削弱 Xa 对凝血酶原的激活作用；③增强纤溶酶的活性，促进纤维蛋白溶解。</w:t>
            </w:r>
          </w:p>
          <w:p w14:paraId="79CCE6B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组织因子途径抑制物（TFPI）　主要来自小血管内皮细胞，目前认为，它是体内重要的生理性抗凝物质。</w:t>
            </w:r>
          </w:p>
          <w:p w14:paraId="1AACB07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二、纤维蛋白溶解</w:t>
            </w:r>
          </w:p>
          <w:p w14:paraId="7D8D6FC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纤维蛋白溶解是指在血液凝固中形成的纤维蛋白在纤维蛋白溶解酶的作用下降解液化的过程，简称纤溶（fibrinolysis）。纤溶系统主要包括纤维蛋白溶解酶原（纤溶酶原）、纤溶酶、纤溶酶原激活物与纤溶抑制物。该系统的主要功能是清除在血液凝固过程中产生的纤维蛋白凝块，阻止永久性血栓形成。纤溶的基本过程可分为两个阶段，即纤溶酶原的激活和纤维蛋白的降解。</w:t>
            </w:r>
          </w:p>
          <w:p w14:paraId="2F50511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（一）纤溶酶原的激活</w:t>
            </w:r>
          </w:p>
          <w:p w14:paraId="2F23036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正常情况下，血浆中的纤溶酶原是以没有活性的酶原形式存在的，在激活物的作用下生成为有活性的纤溶酶。</w:t>
            </w:r>
          </w:p>
          <w:p w14:paraId="0075559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纤溶酶原的激活物主要有以下几种。</w:t>
            </w:r>
          </w:p>
          <w:p w14:paraId="72D2087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血管激活物　主要是在小血管的内皮细胞合成，然后释放入血。</w:t>
            </w:r>
          </w:p>
          <w:p w14:paraId="4CE67AA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组织激活物　组织激活物存在于很多组织中，其中子宫、甲状腺等组织中含量最高。</w:t>
            </w:r>
          </w:p>
          <w:p w14:paraId="48D4795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依赖Ⅻa 的激活物　Ⅻa 及被Ⅻa 激活的激肽释放酶，都能使纤溶酶原变成纤溶酶。</w:t>
            </w:r>
          </w:p>
          <w:p w14:paraId="5D0D36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尿激酶型纤溶酶原激活物　由肾小管和集合管上皮细胞释放，是一种活性很强的激活物，已广泛应用在临床治疗血栓病。</w:t>
            </w:r>
          </w:p>
          <w:p w14:paraId="1F5BED7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（二）纤维蛋白的降解</w:t>
            </w:r>
          </w:p>
          <w:p w14:paraId="1435B2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纤溶酶是一种活性很强的蛋白酶，可使纤维蛋白或纤维蛋白原分子裂解成许多可溶性的小肽，称为纤维蛋白的降解产物。这些产物通常不再凝固。</w:t>
            </w:r>
          </w:p>
          <w:p w14:paraId="328058D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（三）纤溶抑制物</w:t>
            </w:r>
          </w:p>
          <w:p w14:paraId="674E653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人体内还存在着抑制纤溶系统活化的物质，这些物质称为纤溶抑制物。纤溶抑制物按其作用可分两大类：一类主要是抑制纤溶酶原激活的抗活化素；另一类是抑制纤溶酶的活性，称为抗纤溶酶。</w:t>
            </w:r>
          </w:p>
          <w:p w14:paraId="07E576A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（四）纤维蛋白溶解与血液凝固</w:t>
            </w:r>
          </w:p>
          <w:p w14:paraId="12F50C7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生理状态下，机体内的纤溶活动和血液凝固处于相对平衡的状态，血管破损引起出血，此时一方面血液凝固过程启动，形成血凝块，以达到止血的目的；另一方面血凝块中的纤维蛋白吸附纤溶酶和激活物，形成的纤溶酶使血凝块溶解以保证血液流动通畅，有利于组织的修复和血管的再生。一旦此种平衡被破坏，机体就会出现一些病理现象，如纤溶活动过强或者血液凝固障碍，机体的止血功能会减弱，出现出血不止的现象。如纤溶活动过弱，则易形成血栓，导致局部缺血缺氧甚至坏死。</w:t>
            </w:r>
          </w:p>
          <w:p w14:paraId="5FDE7F9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48ABB1D3">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教师通过</w:t>
            </w:r>
            <w:r>
              <w:rPr>
                <w:rFonts w:hint="eastAsia" w:ascii="Times New Roman" w:hAnsi="Times New Roman"/>
                <w:b/>
                <w:szCs w:val="24"/>
                <w:lang w:eastAsia="zh-CN"/>
              </w:rPr>
              <w:t>血液凝固与纤维蛋白溶解展示</w:t>
            </w:r>
            <w:r>
              <w:rPr>
                <w:rFonts w:hint="eastAsia" w:ascii="Times New Roman" w:hAnsi="Times New Roman"/>
                <w:b/>
                <w:szCs w:val="24"/>
              </w:rPr>
              <w:t>，</w:t>
            </w:r>
            <w:r>
              <w:rPr>
                <w:rFonts w:hint="eastAsia" w:ascii="Times New Roman" w:hAnsi="Times New Roman"/>
                <w:b/>
                <w:szCs w:val="24"/>
                <w:lang w:eastAsia="zh-CN"/>
              </w:rPr>
              <w:t>让</w:t>
            </w:r>
            <w:r>
              <w:rPr>
                <w:rFonts w:hint="eastAsia" w:ascii="Times New Roman" w:hAnsi="Times New Roman"/>
                <w:b/>
                <w:szCs w:val="24"/>
              </w:rPr>
              <w:t>学生了解</w:t>
            </w:r>
            <w:r>
              <w:rPr>
                <w:rFonts w:hint="eastAsia" w:ascii="Times New Roman" w:hAnsi="Times New Roman"/>
                <w:b/>
                <w:szCs w:val="24"/>
                <w:lang w:eastAsia="zh-CN"/>
              </w:rPr>
              <w:t>血液凝固与纤维蛋白溶解</w:t>
            </w:r>
            <w:r>
              <w:rPr>
                <w:rFonts w:hint="eastAsia" w:ascii="Times New Roman" w:hAnsi="Times New Roman"/>
                <w:b/>
                <w:szCs w:val="24"/>
              </w:rPr>
              <w:t>的基本理论知识。</w:t>
            </w:r>
          </w:p>
        </w:tc>
      </w:tr>
      <w:tr w14:paraId="43838ED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0E3423CE">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00F2F03B">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4665840E">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6E1BE13C">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cs="宋体"/>
                <w:b/>
                <w:bCs w:val="0"/>
                <w:kern w:val="0"/>
                <w:sz w:val="21"/>
                <w:szCs w:val="21"/>
                <w:lang w:val="en-US" w:eastAsia="zh-CN" w:bidi="ar"/>
              </w:rPr>
              <w:t>血液凝固与纤维蛋白溶解，血浆中的可溶性纤维蛋白原转变为不溶性纤维蛋白的过程。</w:t>
            </w:r>
          </w:p>
        </w:tc>
        <w:tc>
          <w:tcPr>
            <w:tcW w:w="1366" w:type="dxa"/>
            <w:tcBorders>
              <w:tl2br w:val="nil"/>
              <w:tr2bl w:val="nil"/>
            </w:tcBorders>
            <w:vAlign w:val="center"/>
          </w:tcPr>
          <w:p w14:paraId="0EE18CEA">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21A7764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3DFF259A">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266C150B">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654462B9">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简述血清与血浆的区别</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2FFB0E15">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2954ACF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4D3D0A6F">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47417EF7">
            <w:pPr>
              <w:keepNext w:val="0"/>
              <w:keepLines w:val="0"/>
              <w:widowControl/>
              <w:suppressLineNumbers w:val="0"/>
              <w:spacing w:before="0" w:beforeAutospacing="0" w:after="0" w:afterAutospacing="0" w:line="360" w:lineRule="auto"/>
              <w:ind w:left="0" w:right="0"/>
              <w:jc w:val="left"/>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展示血量、血型和输血</w:t>
            </w:r>
          </w:p>
          <w:p w14:paraId="66462AB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一、血量</w:t>
            </w:r>
          </w:p>
          <w:p w14:paraId="59F32A4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血量（blood volume）指人体内所含血液的总量，正常成年人血量占总体重的7% ～ 8%，即每千克体重 70 ～ 80 mL 血液。生理状态下，血量保持相对稳定。安静时，绝大部分血液在心血管内循环流动，称为循环血量；小部分血液贮存在肝、肺、腹腔静脉及皮下静脉丛中，称为贮存血量。当机体剧烈运动或大失血时，循环血量不足，贮存血量就会释放出来以补充循环血量的不足。</w:t>
            </w:r>
          </w:p>
          <w:p w14:paraId="183B2C7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血量的相对稳定是保持正常血压所必需的。机体一次失血量不超过总血量的 10%，通过心脏活动的加强，血管收缩，贮存血量的释放可以代偿，不致严重影响正常生理功能；若一次失血量超过总血量的 20%，就会引起某些正常生理功能的障碍，特别是中枢神经系统高级部位的功能障碍；而失血超过总血量的 30%，将引起中枢神经系统功能的严重障碍，如不迅速输血抢救，就会致命。</w:t>
            </w:r>
          </w:p>
          <w:p w14:paraId="240A0EF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二、血型与输血</w:t>
            </w:r>
          </w:p>
          <w:p w14:paraId="3F8FFF4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（一）血型</w:t>
            </w:r>
          </w:p>
          <w:p w14:paraId="29C7CD3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血型（blood group）通常是指红细胞膜上特异性抗原的类型，它对输血有着重要意义。现已发现的人类红细胞血型系统有 20 多种，与临床关系最密切的是 ABO 血型系统和 Rh 血型系统。</w:t>
            </w:r>
          </w:p>
          <w:p w14:paraId="3EFF0EA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ABO 血型系统</w:t>
            </w:r>
          </w:p>
          <w:p w14:paraId="5B51AB5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（1）ABO 血型的分型依据和判定：在 ABO 血型系统中，红细胞膜上存在着两种特异性抗原：A 凝集原和 B 凝集原。ABO 血型系统的分类是依据红细胞膜上 A、B 凝集原的有无及种类来分型的。凡红细胞膜上只有 A 凝集原者称 A 型；只有 B 凝集原者为 B 型；A、B 凝集原均有者为 AB 型；A、B 凝集原均无者为 O 型。ABO 血型系统中，在血清中还存在着与上述凝集原相对应的凝集素，即抗体。凝集素也是两种，分别称为抗 A 凝集素和抗 B 凝集素。当红细胞凝集原与其相对应的凝集素相遇时，就会发生抗原 - 抗体反应，出现红细胞凝集。在同一个体血清中，不存在对抗他自身红细胞凝集原的凝集素。ABO 血型系统中各血型凝集原和凝集素分布情况。</w:t>
            </w:r>
          </w:p>
          <w:p w14:paraId="073FDED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（2）ABO 血型的亚型及临床意义：ABO 血型系统中存在着多个亚型，其中与临床关系密切表现在 A 型血，有 A1、A2 两种亚型。A1 亚型的红细胞膜上含有 A 与 A1 凝集原，</w:t>
            </w:r>
          </w:p>
          <w:p w14:paraId="2687244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血清中仅含有抗 B 凝集素。A2 亚型的红细胞膜上仅有 A 凝集原，但血清中含有抗 A1 和抗 B 凝集素。同样 AB 型中也有 A1B 和 A2B 两种亚型。</w:t>
            </w:r>
          </w:p>
          <w:p w14:paraId="110EAA5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A1 型的红细胞可与 A2 型血清中的抗 A1 凝集素发生凝集反应。而 A2 型和 A2B 型红细胞的抗原性比 A1 型和 A1B 型要弱得多，所以在做血型鉴定时，易将 A2 型和 A2B 型误定为 O 型和 B 型。因此，在输血前检验时应注意亚型的存在。</w:t>
            </w:r>
          </w:p>
          <w:p w14:paraId="4C54C87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Rh 血型系统</w:t>
            </w:r>
          </w:p>
          <w:p w14:paraId="0E35646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（1）Rh血型的分型：Rh抗原是1940年发现的存在于人类红细胞表面的另一类抗原，因最先被发现于恒河猴（Rhesus monkey）的红细胞上，取其学名的前两个字母命名，故称为 Rh 抗原，由此发现了 Rh 血型系统。Rh 血型系统是红细胞血型中最复杂的一个系统，目前已发现 40 多种 Rh 抗原，与临床关系密切的有 5 种，分别是 C、c、D、E、e 凝集原，其中 D 抗原的抗原性最强，通常将红细胞表面含有 D 抗原的称为 Rh 阳性，缺乏 D 抗原的称为 Rh 阴性。</w:t>
            </w:r>
          </w:p>
          <w:p w14:paraId="0BB9DE1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（2）Rh 血型的特点及其临床意义：人的血清中不存在能与 Rh 抗原起反应的抗 Rh的天然抗体。Rh 阴性者只有接受 Rh 阳性者的血液后，才可刺激机体产生抗 Rh 抗体。</w:t>
            </w:r>
          </w:p>
          <w:p w14:paraId="55BAE1B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临床上，Rh 阴性者第一次接受 Rh 阳性供血者的血液时，一般不会发生明显的输血反应，但在第二次或多次输入 Rh 阳性血液时，即可出现红细胞凝集，发生输血反应。</w:t>
            </w:r>
          </w:p>
          <w:p w14:paraId="45811B7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Rh抗体的主要成分是IgG，其分子量较小，能透过胎盘。临床上，Rh阴性血型的母亲，在第一次妊娠期中，若胎儿为 Rh 阳性血型，胎儿红细胞因某种原因进入母体（如在分娩时，胎盘剥离过程中可能有胎儿红细胞进入母体），母体可产生 Rh 的抗体。当此母亲再次妊娠 Rh 阳性胎儿时，血液中 Rh 的抗体可通过胎盘进入胎儿体内，可使 Rh 阳性血型的胎儿发生新生儿溶血。</w:t>
            </w:r>
          </w:p>
          <w:p w14:paraId="0D21253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在我国各族人民中，汉族和其他大部分民族中，Rh 阳性血型的人约占 99%，Rh阴性血型的人只占 1% 左右。在某些少数民族中，Rh 阴性血型的人较多，如苗族为12.3%，塔塔尔族为 15.8%，布依族和乌孜别克族为 8.7%。因此在少数民族地区从事临床工作者应对 Rh 血型的问题予以高度重视。</w:t>
            </w:r>
          </w:p>
          <w:p w14:paraId="3C29C15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（二）输血</w:t>
            </w:r>
          </w:p>
          <w:p w14:paraId="267F3DA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输血是临床上抢救急性大失血、治疗某些疾病的有效方法，但是输血不当会造成非常严重的后果。为了保证输血的安全、有效，必须严格遵守输血原则。在护理工作中，要严格遵循输血指征，做好输血前的查与对，输血过程中要严密观察，确保输血安全。</w:t>
            </w:r>
          </w:p>
          <w:p w14:paraId="0E713AE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输血原则</w:t>
            </w:r>
          </w:p>
          <w:p w14:paraId="139B993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（1）血型鉴定：在输血前，首先必须鉴定血型，选择合适的血型，最好选择同型血型相配，避免因血型不合引起的严重输血反应。</w:t>
            </w:r>
          </w:p>
          <w:p w14:paraId="022CEE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（2）交叉配血试验：输血前必须进行交叉配血（图 3-6），即将供血者的红细胞与受血者的血清相混合，称为交叉配血的主侧；同时将受血者的红细胞与供血者的血清相混合，即交叉配血的次侧。若主侧、次侧均不发生凝集反应为配血相合，可放心输血；若主侧发生了凝集反应，无论次侧是否发生凝集反应，都为配血不合，禁止输血；主侧不凝集，而次侧凝集，只适宜在紧急情况下输血，并且只能少量缓慢输血，还要密切观察有无输血反应。</w:t>
            </w:r>
          </w:p>
          <w:p w14:paraId="49057D0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交叉配血试验的目的主要有以下两点：避免由 ABO 血型系统中亚型（如 A 型中的 A1 和 A2 型）和 ABO 血型系统外的其他因子引起凝集反应；防止血型鉴定错误导致输血事故。</w:t>
            </w:r>
          </w:p>
          <w:p w14:paraId="1CB0135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输血的类型　随着科学技术的进步和医学的发展，输血疗法已经从原来的输注全血，发展为成分输血，即根据患者疾病需求，输入红细胞、粒细胞、血小板和血浆。另外为了避免异体输血传播肝炎和艾滋病，自身输血疗法也在迅速发展。由此，根据输注血液的成分可将输血分为全血输注和成分输血；根据供血者的来源输血可分为异体输血和自体输血。</w:t>
            </w:r>
          </w:p>
          <w:p w14:paraId="0648888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0B87D2C0">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教师通过</w:t>
            </w:r>
            <w:r>
              <w:rPr>
                <w:rFonts w:hint="eastAsia" w:ascii="Times New Roman" w:hAnsi="Times New Roman"/>
                <w:b/>
                <w:szCs w:val="24"/>
                <w:lang w:eastAsia="zh-CN"/>
              </w:rPr>
              <w:t>血量、血型和输血展示</w:t>
            </w:r>
            <w:r>
              <w:rPr>
                <w:rFonts w:hint="eastAsia" w:ascii="Times New Roman" w:hAnsi="Times New Roman"/>
                <w:b/>
                <w:szCs w:val="24"/>
              </w:rPr>
              <w:t>，</w:t>
            </w:r>
            <w:r>
              <w:rPr>
                <w:rFonts w:hint="eastAsia" w:ascii="Times New Roman" w:hAnsi="Times New Roman"/>
                <w:b/>
                <w:szCs w:val="24"/>
                <w:lang w:eastAsia="zh-CN"/>
              </w:rPr>
              <w:t>让</w:t>
            </w:r>
            <w:r>
              <w:rPr>
                <w:rFonts w:hint="eastAsia" w:ascii="Times New Roman" w:hAnsi="Times New Roman"/>
                <w:b/>
                <w:szCs w:val="24"/>
              </w:rPr>
              <w:t>学生了解</w:t>
            </w:r>
            <w:r>
              <w:rPr>
                <w:rFonts w:hint="eastAsia" w:ascii="Times New Roman" w:hAnsi="Times New Roman"/>
                <w:b/>
                <w:szCs w:val="24"/>
                <w:lang w:eastAsia="zh-CN"/>
              </w:rPr>
              <w:t>血量、血型和输血</w:t>
            </w:r>
            <w:r>
              <w:rPr>
                <w:rFonts w:hint="eastAsia" w:ascii="Times New Roman" w:hAnsi="Times New Roman"/>
                <w:b/>
                <w:szCs w:val="24"/>
              </w:rPr>
              <w:t>的基本理论知识。</w:t>
            </w:r>
          </w:p>
        </w:tc>
      </w:tr>
      <w:tr w14:paraId="69AC7E0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1D750182">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0483BE82">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207BC734">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71EE296F">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cs="宋体"/>
                <w:b/>
                <w:bCs w:val="0"/>
                <w:kern w:val="0"/>
                <w:sz w:val="21"/>
                <w:szCs w:val="21"/>
                <w:lang w:val="en-US" w:eastAsia="zh-CN" w:bidi="ar"/>
              </w:rPr>
              <w:t>血量、血型和输血，当代大学生在身体条件允许的情况下，鼓励参与“无偿献血”这项公益活动。</w:t>
            </w:r>
          </w:p>
        </w:tc>
        <w:tc>
          <w:tcPr>
            <w:tcW w:w="1366" w:type="dxa"/>
            <w:tcBorders>
              <w:tl2br w:val="nil"/>
              <w:tr2bl w:val="nil"/>
            </w:tcBorders>
            <w:vAlign w:val="center"/>
          </w:tcPr>
          <w:p w14:paraId="7CB788EA">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2726CBF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6AE91922">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74D6B6B2">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44971088">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简述输血原则</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2771C61D">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65902E7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00FC666A">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rPr>
              <w:t>教学反思</w:t>
            </w:r>
          </w:p>
        </w:tc>
        <w:tc>
          <w:tcPr>
            <w:tcW w:w="7173" w:type="dxa"/>
            <w:gridSpan w:val="2"/>
            <w:tcBorders>
              <w:tl2br w:val="nil"/>
              <w:tr2bl w:val="nil"/>
            </w:tcBorders>
            <w:vAlign w:val="center"/>
          </w:tcPr>
          <w:p w14:paraId="50106E45">
            <w:pPr>
              <w:keepNext w:val="0"/>
              <w:keepLines w:val="0"/>
              <w:suppressLineNumbers w:val="0"/>
              <w:spacing w:before="0" w:beforeAutospacing="0" w:after="0" w:afterAutospacing="0" w:line="360" w:lineRule="auto"/>
              <w:ind w:left="0" w:right="0"/>
              <w:rPr>
                <w:rFonts w:hint="default" w:ascii="Times New Roman" w:hAnsi="Times New Roman"/>
              </w:rPr>
            </w:pPr>
            <w:r>
              <w:rPr>
                <w:rFonts w:hint="default" w:ascii="Times New Roman" w:hAnsi="Times New Roman"/>
              </w:rPr>
              <w:t>恰当的采用多媒体教学手段，能提高增加教学密度，提高教学效率，也能增强学生学习的兴趣。</w:t>
            </w:r>
          </w:p>
        </w:tc>
      </w:tr>
      <w:bookmarkEnd w:id="0"/>
    </w:tbl>
    <w:p w14:paraId="6A72FAC0"/>
    <w:sectPr>
      <w:pgSz w:w="11906" w:h="16838"/>
      <w:pgMar w:top="567" w:right="170" w:bottom="850" w:left="170" w:header="567" w:footer="850"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1ADA4AAE-4889-404C-8640-4E358AFC705C}"/>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2" w:fontKey="{FA13DF3F-77C4-41C8-8BF6-03AA953E177F}"/>
  </w:font>
  <w:font w:name="微软雅黑">
    <w:panose1 w:val="020B0503020204020204"/>
    <w:charset w:val="86"/>
    <w:family w:val="auto"/>
    <w:pitch w:val="default"/>
    <w:sig w:usb0="80000287" w:usb1="2ACF3C50" w:usb2="00000016" w:usb3="00000000" w:csb0="0004001F" w:csb1="00000000"/>
    <w:embedRegular r:id="rId3" w:fontKey="{858AED0B-A98F-4FB4-95ED-30B91CA96A65}"/>
  </w:font>
  <w:font w:name="方正宋黑_GBK">
    <w:panose1 w:val="03000509000000000000"/>
    <w:charset w:val="86"/>
    <w:family w:val="script"/>
    <w:pitch w:val="default"/>
    <w:sig w:usb0="00000001" w:usb1="080E0000" w:usb2="0000000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PinYinok">
    <w:panose1 w:val="020B0603050302020204"/>
    <w:charset w:val="00"/>
    <w:family w:val="swiss"/>
    <w:pitch w:val="default"/>
    <w:sig w:usb0="00000000" w:usb1="00000000" w:usb2="00000000" w:usb3="00000000" w:csb0="00000000" w:csb1="00000000"/>
  </w:font>
  <w:font w:name="汉仪菱心体简">
    <w:panose1 w:val="02010400000101010101"/>
    <w:charset w:val="86"/>
    <w:family w:val="auto"/>
    <w:pitch w:val="default"/>
    <w:sig w:usb0="00000001" w:usb1="080E0800" w:usb2="00000002" w:usb3="00000000" w:csb0="00040000" w:csb1="00000000"/>
    <w:embedRegular r:id="rId4" w:fontKey="{74383B6C-2243-42BD-AA14-86D1C24F5D8D}"/>
  </w:font>
  <w:font w:name="思源宋体 CN Heavy">
    <w:panose1 w:val="02020900000000000000"/>
    <w:charset w:val="86"/>
    <w:family w:val="auto"/>
    <w:pitch w:val="default"/>
    <w:sig w:usb0="20000083" w:usb1="2ADF3C10" w:usb2="00000016" w:usb3="00000000" w:csb0="60060107" w:csb1="00000000"/>
  </w:font>
  <w:font w:name="微软简老宋">
    <w:panose1 w:val="00000000000000000000"/>
    <w:charset w:val="00"/>
    <w:family w:val="auto"/>
    <w:pitch w:val="default"/>
    <w:sig w:usb0="00000000" w:usb1="00000000" w:usb2="00000000" w:usb3="00000000" w:csb0="00000000" w:csb1="00000000"/>
    <w:embedRegular r:id="rId5" w:fontKey="{8DFA826E-7288-4A6B-B35E-DCF1AB58E901}"/>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C28E3C">
    <w:pPr>
      <w:pStyle w:val="9"/>
      <w:pBdr>
        <w:bottom w:val="none" w:color="auto" w:sz="0" w:space="1"/>
      </w:pBdr>
      <w:rPr>
        <w:rFonts w:hint="eastAsia" w:eastAsia="宋体"/>
        <w:lang w:eastAsia="zh-CN"/>
      </w:rPr>
    </w:pPr>
    <w:r>
      <mc:AlternateContent>
        <mc:Choice Requires="wps">
          <w:drawing>
            <wp:anchor distT="0" distB="0" distL="114300" distR="114300" simplePos="0" relativeHeight="251663360" behindDoc="0" locked="0" layoutInCell="1" allowOverlap="1">
              <wp:simplePos x="0" y="0"/>
              <wp:positionH relativeFrom="column">
                <wp:posOffset>162560</wp:posOffset>
              </wp:positionH>
              <wp:positionV relativeFrom="paragraph">
                <wp:posOffset>-2540</wp:posOffset>
              </wp:positionV>
              <wp:extent cx="7019925" cy="9953625"/>
              <wp:effectExtent l="6350" t="6350" r="22225" b="22225"/>
              <wp:wrapNone/>
              <wp:docPr id="98" name="矩形 98"/>
              <wp:cNvGraphicFramePr/>
              <a:graphic xmlns:a="http://schemas.openxmlformats.org/drawingml/2006/main">
                <a:graphicData uri="http://schemas.microsoft.com/office/word/2010/wordprocessingShape">
                  <wps:wsp>
                    <wps:cNvSpPr/>
                    <wps:spPr>
                      <a:xfrm>
                        <a:off x="0" y="0"/>
                        <a:ext cx="7019925" cy="9953625"/>
                      </a:xfrm>
                      <a:prstGeom prst="rect">
                        <a:avLst/>
                      </a:prstGeom>
                      <a:solidFill>
                        <a:srgbClr val="FFFFFF">
                          <a:alpha val="73000"/>
                        </a:srgbClr>
                      </a:solidFill>
                      <a:ln>
                        <a:solidFill>
                          <a:srgbClr val="7EC1E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8pt;margin-top:-0.2pt;height:783.75pt;width:552.75pt;z-index:251663360;v-text-anchor:middle;mso-width-relative:page;mso-height-relative:page;" fillcolor="#FFFFFF" filled="t" stroked="t" coordsize="21600,21600" o:gfxdata="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">
              <v:fill on="t" opacity="47841f" focussize="0,0"/>
              <v:stroke weight="1pt" color="#7EC1E1 [3204]" miterlimit="8" joinstyle="miter"/>
              <v:imagedata o:title=""/>
              <o:lock v:ext="edit" aspectratio="f"/>
            </v:rect>
          </w:pict>
        </mc:Fallback>
      </mc:AlternateContent>
    </w:r>
    <w:r>
      <w:rPr>
        <w:sz w:val="18"/>
      </w:rPr>
      <mc:AlternateContent>
        <mc:Choice Requires="wps">
          <w:drawing>
            <wp:anchor distT="0" distB="0" distL="114300" distR="114300" simplePos="0" relativeHeight="251660288" behindDoc="0" locked="0" layoutInCell="1" allowOverlap="1">
              <wp:simplePos x="0" y="0"/>
              <wp:positionH relativeFrom="column">
                <wp:posOffset>249555</wp:posOffset>
              </wp:positionH>
              <wp:positionV relativeFrom="paragraph">
                <wp:posOffset>5715</wp:posOffset>
              </wp:positionV>
              <wp:extent cx="6840220" cy="9972040"/>
              <wp:effectExtent l="6350" t="6350" r="11430" b="22860"/>
              <wp:wrapNone/>
              <wp:docPr id="8" name="矩形 8"/>
              <wp:cNvGraphicFramePr/>
              <a:graphic xmlns:a="http://schemas.openxmlformats.org/drawingml/2006/main">
                <a:graphicData uri="http://schemas.microsoft.com/office/word/2010/wordprocessingShape">
                  <wps:wsp>
                    <wps:cNvSpPr/>
                    <wps:spPr>
                      <a:xfrm>
                        <a:off x="293370" y="365760"/>
                        <a:ext cx="6840220" cy="9972040"/>
                      </a:xfrm>
                      <a:prstGeom prst="rect">
                        <a:avLst/>
                      </a:prstGeom>
                      <a:solidFill>
                        <a:schemeClr val="bg1">
                          <a:alpha val="55000"/>
                        </a:schemeClr>
                      </a:solidFill>
                      <a:ln>
                        <a:solidFill>
                          <a:schemeClr val="bg1">
                            <a:lumMod val="95000"/>
                          </a:schemeClr>
                        </a:solidFill>
                        <a:prstDash val="solid"/>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65pt;margin-top:0.45pt;height:785.2pt;width:538.6pt;z-index:251660288;v-text-anchor:middle;mso-width-relative:page;mso-height-relative:page;" fillcolor="#FFFFFF [3212]" filled="t" stroked="t" coordsize="21600,21600" o:gfxdata="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LbM&#10;U1bYAAAACQEAAA8AAAAAAAAAAQAgAAAAIgAAAGRycy9kb3ducmV2LnhtbFBLAQIUABQAAAAIAIdO&#10;4kC3d1dhlQIAAEIFAAAOAAAAAAAAAAEAIAAAACcBAABkcnMvZTJvRG9jLnhtbFBLBQYAAAAABgAG&#10;AFkBAAAuBgAAAAA=&#10;">
              <v:fill on="t" opacity="36044f" focussize="0,0"/>
              <v:stroke weight="1pt" color="#F2F2F2 [3052]" miterlimit="8" joinstyle="miter"/>
              <v:imagedata o:title=""/>
              <o:lock v:ext="edit" aspectratio="f"/>
            </v:rect>
          </w:pict>
        </mc:Fallback>
      </mc:AlternateContent>
    </w:r>
    <w:r>
      <w:drawing>
        <wp:anchor distT="0" distB="0" distL="114300" distR="114300" simplePos="0" relativeHeight="251662336" behindDoc="0" locked="0" layoutInCell="1" allowOverlap="1">
          <wp:simplePos x="0" y="0"/>
          <wp:positionH relativeFrom="column">
            <wp:posOffset>-189230</wp:posOffset>
          </wp:positionH>
          <wp:positionV relativeFrom="paragraph">
            <wp:posOffset>-476250</wp:posOffset>
          </wp:positionV>
          <wp:extent cx="7640955" cy="10807700"/>
          <wp:effectExtent l="0" t="0" r="17145" b="12700"/>
          <wp:wrapNone/>
          <wp:docPr id="95" name="图片 95" descr="临床医生背景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临床医生背景图片"/>
                  <pic:cNvPicPr>
                    <a:picLocks noChangeAspect="1"/>
                  </pic:cNvPicPr>
                </pic:nvPicPr>
                <pic:blipFill>
                  <a:blip r:embed="rId1"/>
                  <a:stretch>
                    <a:fillRect/>
                  </a:stretch>
                </pic:blipFill>
                <pic:spPr>
                  <a:xfrm>
                    <a:off x="0" y="0"/>
                    <a:ext cx="7640955" cy="10807700"/>
                  </a:xfrm>
                  <a:prstGeom prst="rect">
                    <a:avLst/>
                  </a:prstGeom>
                </pic:spPr>
              </pic:pic>
            </a:graphicData>
          </a:graphic>
        </wp:anchor>
      </w:drawing>
    </w:r>
    <w:r>
      <w:rPr>
        <w:rFonts w:hint="eastAsia" w:eastAsia="宋体"/>
        <w:lang w:eastAsia="zh-CN"/>
      </w:rPr>
      <w:drawing>
        <wp:anchor distT="0" distB="0" distL="114300" distR="114300" simplePos="0" relativeHeight="251659264" behindDoc="1" locked="0" layoutInCell="1" allowOverlap="1">
          <wp:simplePos x="0" y="0"/>
          <wp:positionH relativeFrom="column">
            <wp:posOffset>-113030</wp:posOffset>
          </wp:positionH>
          <wp:positionV relativeFrom="paragraph">
            <wp:posOffset>-350520</wp:posOffset>
          </wp:positionV>
          <wp:extent cx="7559040" cy="10692130"/>
          <wp:effectExtent l="0" t="0" r="3810" b="13970"/>
          <wp:wrapNone/>
          <wp:docPr id="7" name="图片 7"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医学背景2"/>
                  <pic:cNvPicPr>
                    <a:picLocks noChangeAspect="1"/>
                  </pic:cNvPicPr>
                </pic:nvPicPr>
                <pic:blipFill>
                  <a:blip r:embed="rId2"/>
                  <a:stretch>
                    <a:fillRect/>
                  </a:stretch>
                </pic:blipFill>
                <pic:spPr>
                  <a:xfrm>
                    <a:off x="0" y="0"/>
                    <a:ext cx="7559040" cy="10692130"/>
                  </a:xfrm>
                  <a:prstGeom prst="rect">
                    <a:avLst/>
                  </a:prstGeom>
                </pic:spPr>
              </pic:pic>
            </a:graphicData>
          </a:graphic>
        </wp:anchor>
      </w:drawing>
    </w:r>
  </w:p>
  <w:p w14:paraId="76D56191">
    <w:pPr>
      <w:pStyle w:val="9"/>
      <w:pBdr>
        <w:bottom w:val="none" w:color="auto" w:sz="0" w:space="1"/>
      </w:pBdr>
      <w:rPr>
        <w:rFonts w:hint="eastAsia" w:eastAsia="宋体"/>
        <w:lang w:eastAsia="zh-CN"/>
      </w:rPr>
    </w:pPr>
    <w:r>
      <w:rPr>
        <w:rFonts w:hint="eastAsia" w:eastAsia="宋体"/>
        <w:lang w:eastAsia="zh-CN"/>
      </w:rPr>
      <w:drawing>
        <wp:inline distT="0" distB="0" distL="114300" distR="114300">
          <wp:extent cx="6614160" cy="9355455"/>
          <wp:effectExtent l="0" t="0" r="15240" b="17145"/>
          <wp:docPr id="6" name="图片 6"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医学背景2"/>
                  <pic:cNvPicPr>
                    <a:picLocks noChangeAspect="1"/>
                  </pic:cNvPicPr>
                </pic:nvPicPr>
                <pic:blipFill>
                  <a:blip r:embed="rId2"/>
                  <a:stretch>
                    <a:fillRect/>
                  </a:stretch>
                </pic:blipFill>
                <pic:spPr>
                  <a:xfrm>
                    <a:off x="0" y="0"/>
                    <a:ext cx="6614160" cy="9355455"/>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DB6F23">
    <w:pPr>
      <w:pStyle w:val="9"/>
      <w:pBdr>
        <w:bottom w:val="none" w:color="auto" w:sz="0" w:space="1"/>
      </w:pBdr>
      <w:rPr>
        <w:rFonts w:hint="eastAsia" w:eastAsia="宋体"/>
        <w:lang w:eastAsia="zh-CN"/>
      </w:rPr>
    </w:pPr>
    <w:r>
      <w:rPr>
        <w:rFonts w:hint="eastAsia" w:eastAsiaTheme="minorEastAsia"/>
        <w:lang w:eastAsia="zh-CN"/>
      </w:rPr>
      <w:drawing>
        <wp:anchor distT="0" distB="0" distL="114300" distR="114300" simplePos="0" relativeHeight="251661312" behindDoc="1" locked="0" layoutInCell="1" allowOverlap="1">
          <wp:simplePos x="0" y="0"/>
          <wp:positionH relativeFrom="column">
            <wp:posOffset>-224790</wp:posOffset>
          </wp:positionH>
          <wp:positionV relativeFrom="page">
            <wp:posOffset>0</wp:posOffset>
          </wp:positionV>
          <wp:extent cx="7676515" cy="7571105"/>
          <wp:effectExtent l="0" t="0" r="635" b="0"/>
          <wp:wrapNone/>
          <wp:docPr id="3" name="图片 3" descr="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92"/>
                  <pic:cNvPicPr>
                    <a:picLocks noChangeAspect="1"/>
                  </pic:cNvPicPr>
                </pic:nvPicPr>
                <pic:blipFill>
                  <a:blip r:embed="rId1"/>
                  <a:stretch>
                    <a:fillRect/>
                  </a:stretch>
                </pic:blipFill>
                <pic:spPr>
                  <a:xfrm>
                    <a:off x="0" y="0"/>
                    <a:ext cx="7676515" cy="7571105"/>
                  </a:xfrm>
                  <a:prstGeom prst="rect">
                    <a:avLst/>
                  </a:prstGeom>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UwZDJhYjUyNWMyYTM4YmY1YzczYWE4MTIwOWE1NDY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27B08F2"/>
    <w:rsid w:val="0AC91BFE"/>
    <w:rsid w:val="0D0A5F71"/>
    <w:rsid w:val="0E3C75E8"/>
    <w:rsid w:val="1FB84519"/>
    <w:rsid w:val="2003061B"/>
    <w:rsid w:val="20F13C9B"/>
    <w:rsid w:val="238347DF"/>
    <w:rsid w:val="24B477DD"/>
    <w:rsid w:val="278141AB"/>
    <w:rsid w:val="28B578A7"/>
    <w:rsid w:val="322A12C5"/>
    <w:rsid w:val="34AD60CD"/>
    <w:rsid w:val="34B67F89"/>
    <w:rsid w:val="368D542E"/>
    <w:rsid w:val="388B134B"/>
    <w:rsid w:val="436C72A2"/>
    <w:rsid w:val="43CD7F64"/>
    <w:rsid w:val="44B33A23"/>
    <w:rsid w:val="45C91BBA"/>
    <w:rsid w:val="487E54FB"/>
    <w:rsid w:val="49F8701E"/>
    <w:rsid w:val="4C7F0E23"/>
    <w:rsid w:val="53FC1C54"/>
    <w:rsid w:val="582E68E8"/>
    <w:rsid w:val="5A7C6694"/>
    <w:rsid w:val="5FFC3909"/>
    <w:rsid w:val="600E33E1"/>
    <w:rsid w:val="622A303A"/>
    <w:rsid w:val="64133A3F"/>
    <w:rsid w:val="69CC12FA"/>
    <w:rsid w:val="6ED554B1"/>
    <w:rsid w:val="723010AC"/>
    <w:rsid w:val="7E1F5A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qFormat/>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unhideWhenUsed/>
    <w:qFormat/>
    <w:uiPriority w:val="0"/>
    <w:rPr>
      <w:rFonts w:eastAsia="黑体" w:asciiTheme="majorHAnsi" w:hAnsiTheme="majorHAnsi" w:cstheme="majorBidi"/>
      <w:sz w:val="20"/>
      <w:szCs w:val="20"/>
    </w:rPr>
  </w:style>
  <w:style w:type="paragraph" w:styleId="8">
    <w:name w:val="footer"/>
    <w:basedOn w:val="1"/>
    <w:link w:val="19"/>
    <w:unhideWhenUsed/>
    <w:qFormat/>
    <w:uiPriority w:val="99"/>
    <w:pPr>
      <w:tabs>
        <w:tab w:val="center" w:pos="4153"/>
        <w:tab w:val="right" w:pos="8306"/>
      </w:tabs>
      <w:snapToGrid w:val="0"/>
      <w:jc w:val="left"/>
    </w:pPr>
    <w:rPr>
      <w:sz w:val="18"/>
      <w:szCs w:val="18"/>
    </w:rPr>
  </w:style>
  <w:style w:type="paragraph" w:styleId="9">
    <w:name w:val="header"/>
    <w:basedOn w:val="1"/>
    <w:link w:val="18"/>
    <w:unhideWhenUsed/>
    <w:qFormat/>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customXml" Target="../customXml/item1.xml"/><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19</Pages>
  <Words>10970</Words>
  <Characters>11125</Characters>
  <Lines>1</Lines>
  <Paragraphs>1</Paragraphs>
  <TotalTime>1</TotalTime>
  <ScaleCrop>false</ScaleCrop>
  <LinksUpToDate>false</LinksUpToDate>
  <CharactersWithSpaces>11193</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2025-07-23T02:37:51Z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A0F3B0C8DAAF484C87D61D9204417A8A_13</vt:lpwstr>
  </property>
  <property fmtid="{D5CDD505-2E9C-101B-9397-08002B2CF9AE}" pid="4" name="KSOTemplateDocerSaveRecord">
    <vt:lpwstr>eyJoZGlkIjoiOTcxZjc4Y2ViNTBlZDVmZTI3YTAxZGE1NWVmM2E2NDEiLCJ1c2VySWQiOiI0MDMzMDA2MzYifQ==</vt:lpwstr>
  </property>
</Properties>
</file>